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A98CE" w14:textId="77777777" w:rsidR="00A13EC5" w:rsidRPr="00E46CE3" w:rsidRDefault="00A13EC5" w:rsidP="0034591A">
      <w:r w:rsidRPr="00E46CE3">
        <w:rPr>
          <w:noProof/>
          <w:sz w:val="64"/>
          <w:szCs w:val="64"/>
          <w:lang w:eastAsia="en-AU"/>
        </w:rPr>
        <w:drawing>
          <wp:anchor distT="0" distB="0" distL="114300" distR="114300" simplePos="0" relativeHeight="251659264" behindDoc="1" locked="1" layoutInCell="0" allowOverlap="1" wp14:anchorId="4D62A407" wp14:editId="75D30697">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5323" w:type="dxa"/>
        <w:tblCellMar>
          <w:left w:w="0" w:type="dxa"/>
          <w:right w:w="0" w:type="dxa"/>
        </w:tblCellMar>
        <w:tblLook w:val="04A0" w:firstRow="1" w:lastRow="0" w:firstColumn="1" w:lastColumn="0" w:noHBand="0" w:noVBand="1"/>
      </w:tblPr>
      <w:tblGrid>
        <w:gridCol w:w="5323"/>
      </w:tblGrid>
      <w:tr w:rsidR="00A13EC5" w:rsidRPr="00E46CE3" w14:paraId="4CC1D683" w14:textId="77777777" w:rsidTr="00C92DE8">
        <w:trPr>
          <w:trHeight w:val="6201"/>
        </w:trPr>
        <w:tc>
          <w:tcPr>
            <w:tcW w:w="5323" w:type="dxa"/>
            <w:shd w:val="clear" w:color="auto" w:fill="auto"/>
            <w:vAlign w:val="center"/>
          </w:tcPr>
          <w:p w14:paraId="2F88FB41" w14:textId="351BC8C7" w:rsidR="00C92DE8" w:rsidRPr="00E46CE3" w:rsidRDefault="00C92DE8" w:rsidP="0034591A">
            <w:pPr>
              <w:rPr>
                <w:color w:val="595959" w:themeColor="text1" w:themeTint="A6"/>
                <w:sz w:val="64"/>
                <w:szCs w:val="64"/>
              </w:rPr>
            </w:pPr>
            <w:r w:rsidRPr="00E46CE3">
              <w:rPr>
                <w:color w:val="595959" w:themeColor="text1" w:themeTint="A6"/>
                <w:sz w:val="64"/>
                <w:szCs w:val="64"/>
              </w:rPr>
              <w:t>Questions and Answers</w:t>
            </w:r>
          </w:p>
          <w:p w14:paraId="7CEDE046" w14:textId="420A5DEF" w:rsidR="00A13EC5" w:rsidRPr="00E46CE3" w:rsidRDefault="005C3EBD" w:rsidP="0034591A">
            <w:pPr>
              <w:rPr>
                <w:sz w:val="40"/>
                <w:szCs w:val="40"/>
              </w:rPr>
            </w:pPr>
            <w:r w:rsidRPr="00E46CE3">
              <w:rPr>
                <w:color w:val="595959" w:themeColor="text1" w:themeTint="A6"/>
                <w:sz w:val="40"/>
                <w:szCs w:val="40"/>
              </w:rPr>
              <w:t xml:space="preserve">Victorian public </w:t>
            </w:r>
            <w:r w:rsidR="00E9709B" w:rsidRPr="00E46CE3">
              <w:rPr>
                <w:color w:val="595959" w:themeColor="text1" w:themeTint="A6"/>
                <w:sz w:val="40"/>
                <w:szCs w:val="40"/>
              </w:rPr>
              <w:t xml:space="preserve">sector </w:t>
            </w:r>
            <w:r w:rsidRPr="00E46CE3">
              <w:rPr>
                <w:color w:val="595959" w:themeColor="text1" w:themeTint="A6"/>
                <w:sz w:val="40"/>
                <w:szCs w:val="40"/>
              </w:rPr>
              <w:t xml:space="preserve">employer </w:t>
            </w:r>
            <w:r w:rsidR="001A5CD4" w:rsidRPr="00E46CE3">
              <w:rPr>
                <w:color w:val="595959" w:themeColor="text1" w:themeTint="A6"/>
                <w:sz w:val="40"/>
                <w:szCs w:val="40"/>
              </w:rPr>
              <w:t xml:space="preserve">superannuation obligations </w:t>
            </w:r>
            <w:r w:rsidR="006B32A3" w:rsidRPr="00E46CE3">
              <w:rPr>
                <w:color w:val="595959" w:themeColor="text1" w:themeTint="A6"/>
                <w:sz w:val="40"/>
                <w:szCs w:val="40"/>
              </w:rPr>
              <w:t xml:space="preserve">to </w:t>
            </w:r>
            <w:r w:rsidRPr="00E46CE3">
              <w:rPr>
                <w:color w:val="595959" w:themeColor="text1" w:themeTint="A6"/>
                <w:sz w:val="40"/>
                <w:szCs w:val="40"/>
              </w:rPr>
              <w:t>executives</w:t>
            </w:r>
          </w:p>
        </w:tc>
      </w:tr>
    </w:tbl>
    <w:p w14:paraId="5468DF75" w14:textId="77777777" w:rsidR="00A13EC5" w:rsidRPr="00E46CE3" w:rsidRDefault="00A13EC5" w:rsidP="0034591A">
      <w:pPr>
        <w:sectPr w:rsidR="00A13EC5" w:rsidRPr="00E46CE3" w:rsidSect="00A13EC5">
          <w:footerReference w:type="default" r:id="rId10"/>
          <w:pgSz w:w="11906" w:h="16838"/>
          <w:pgMar w:top="1134" w:right="1418" w:bottom="1134" w:left="1418" w:header="454" w:footer="567" w:gutter="0"/>
          <w:pgNumType w:fmt="lowerRoman" w:start="1"/>
          <w:cols w:space="720"/>
          <w:docGrid w:linePitch="360"/>
        </w:sectPr>
      </w:pPr>
    </w:p>
    <w:p w14:paraId="1580D08D" w14:textId="232A6C57" w:rsidR="00A13EC5" w:rsidRPr="00E46CE3" w:rsidRDefault="00BA0F56" w:rsidP="0034591A">
      <w:pPr>
        <w:pStyle w:val="Heading1"/>
      </w:pPr>
      <w:r w:rsidRPr="00E46CE3">
        <w:lastRenderedPageBreak/>
        <w:t xml:space="preserve">Superannuation adjustments applicable </w:t>
      </w:r>
      <w:r w:rsidR="00A572C5" w:rsidRPr="00E46CE3">
        <w:t xml:space="preserve">to public </w:t>
      </w:r>
      <w:r w:rsidR="00E9709B" w:rsidRPr="00E46CE3">
        <w:t xml:space="preserve">sector </w:t>
      </w:r>
      <w:r w:rsidRPr="00E46CE3">
        <w:t>executives</w:t>
      </w:r>
      <w:r w:rsidR="00A572C5" w:rsidRPr="00E46CE3">
        <w:t xml:space="preserve"> in </w:t>
      </w:r>
      <w:r w:rsidR="005D109C" w:rsidRPr="00E46CE3">
        <w:t>2021</w:t>
      </w:r>
      <w:r w:rsidR="00A572C5" w:rsidRPr="00E46CE3">
        <w:t>-22</w:t>
      </w:r>
      <w:r w:rsidRPr="00E46CE3">
        <w:t xml:space="preserve"> </w:t>
      </w:r>
    </w:p>
    <w:p w14:paraId="17732AC7" w14:textId="77777777" w:rsidR="000A1123" w:rsidRPr="00E46CE3" w:rsidRDefault="005C3EBD" w:rsidP="000A1123">
      <w:pPr>
        <w:pStyle w:val="Heading2"/>
      </w:pPr>
      <w:r w:rsidRPr="00E46CE3">
        <w:t>Purpose</w:t>
      </w:r>
    </w:p>
    <w:p w14:paraId="458ADF50" w14:textId="2D8B0200" w:rsidR="005C3EBD" w:rsidRPr="00E46CE3" w:rsidRDefault="005C3EBD" w:rsidP="000A1123">
      <w:r w:rsidRPr="00E46CE3">
        <w:t xml:space="preserve">The Department of Premier and Cabinet </w:t>
      </w:r>
      <w:r w:rsidR="00957C38" w:rsidRPr="00E46CE3">
        <w:t xml:space="preserve">(DPC) </w:t>
      </w:r>
      <w:r w:rsidRPr="00E46CE3">
        <w:t>is issuing this advice to provide guidance to</w:t>
      </w:r>
      <w:r w:rsidR="00E9709B" w:rsidRPr="00E46CE3">
        <w:t xml:space="preserve"> </w:t>
      </w:r>
      <w:r w:rsidRPr="00E46CE3">
        <w:t xml:space="preserve">Victorian </w:t>
      </w:r>
      <w:r w:rsidR="00256713" w:rsidRPr="00E46CE3">
        <w:t>P</w:t>
      </w:r>
      <w:r w:rsidRPr="00E46CE3">
        <w:t xml:space="preserve">ublic </w:t>
      </w:r>
      <w:r w:rsidR="00256713" w:rsidRPr="00E46CE3">
        <w:t>S</w:t>
      </w:r>
      <w:r w:rsidRPr="00E46CE3">
        <w:t xml:space="preserve">ervice </w:t>
      </w:r>
      <w:r w:rsidR="00256713" w:rsidRPr="00E46CE3">
        <w:t>(VPS)</w:t>
      </w:r>
      <w:r w:rsidR="00E9709B" w:rsidRPr="00E46CE3">
        <w:t xml:space="preserve"> and public entity employers (known collectively as ‘public sector employers’)</w:t>
      </w:r>
      <w:r w:rsidRPr="00E46CE3">
        <w:t xml:space="preserve"> </w:t>
      </w:r>
      <w:r w:rsidR="00CD108A" w:rsidRPr="00E46CE3">
        <w:t>on</w:t>
      </w:r>
      <w:r w:rsidRPr="00E46CE3">
        <w:t xml:space="preserve"> apply</w:t>
      </w:r>
      <w:r w:rsidR="00CD108A" w:rsidRPr="00E46CE3">
        <w:t>ing</w:t>
      </w:r>
      <w:r w:rsidRPr="00E46CE3">
        <w:t xml:space="preserve"> legislated superannuation changes </w:t>
      </w:r>
      <w:r w:rsidR="00AA22B1" w:rsidRPr="00E46CE3">
        <w:t>to</w:t>
      </w:r>
      <w:r w:rsidRPr="00E46CE3">
        <w:t xml:space="preserve"> executive</w:t>
      </w:r>
      <w:r w:rsidR="00256713" w:rsidRPr="00E46CE3">
        <w:t xml:space="preserve"> remuneration</w:t>
      </w:r>
      <w:r w:rsidRPr="00E46CE3">
        <w:t xml:space="preserve"> in </w:t>
      </w:r>
      <w:r w:rsidR="005D109C" w:rsidRPr="00E46CE3">
        <w:t>2021</w:t>
      </w:r>
      <w:r w:rsidRPr="00E46CE3">
        <w:t>-</w:t>
      </w:r>
      <w:r w:rsidR="00CD108A" w:rsidRPr="00E46CE3">
        <w:t> </w:t>
      </w:r>
      <w:r w:rsidRPr="00E46CE3">
        <w:t xml:space="preserve">22. </w:t>
      </w:r>
    </w:p>
    <w:p w14:paraId="046B305E" w14:textId="58512C48" w:rsidR="005C3EBD" w:rsidRPr="00E46CE3" w:rsidRDefault="005C3EBD" w:rsidP="000A1123">
      <w:pPr>
        <w:pStyle w:val="Heading2"/>
      </w:pPr>
      <w:bookmarkStart w:id="0" w:name="_Hlk74321076"/>
      <w:r w:rsidRPr="00E46CE3">
        <w:t>Application</w:t>
      </w:r>
    </w:p>
    <w:p w14:paraId="1F2B43D1" w14:textId="3E94DA15" w:rsidR="005C3EBD" w:rsidRPr="00E46CE3" w:rsidRDefault="005C3EBD" w:rsidP="000A1123">
      <w:r w:rsidRPr="00E46CE3">
        <w:t>Th</w:t>
      </w:r>
      <w:r w:rsidR="00EE4401" w:rsidRPr="00E46CE3">
        <w:t>is</w:t>
      </w:r>
      <w:r w:rsidRPr="00E46CE3">
        <w:t xml:space="preserve"> advice applies to </w:t>
      </w:r>
      <w:r w:rsidR="00E9709B" w:rsidRPr="00E46CE3">
        <w:t xml:space="preserve">public sector </w:t>
      </w:r>
      <w:r w:rsidR="00AA22B1" w:rsidRPr="00E46CE3">
        <w:t>employers with executives</w:t>
      </w:r>
      <w:r w:rsidRPr="00E46CE3">
        <w:t xml:space="preserve"> on superannuation accumulation schemes</w:t>
      </w:r>
      <w:r w:rsidR="000F2FFF" w:rsidRPr="00E46CE3">
        <w:t xml:space="preserve">, whose terms and conditions of employment are set out in the </w:t>
      </w:r>
      <w:r w:rsidR="00E9709B" w:rsidRPr="00E46CE3">
        <w:t>standard executive employment contracts</w:t>
      </w:r>
      <w:r w:rsidR="00EE4401" w:rsidRPr="00E46CE3">
        <w:t>,</w:t>
      </w:r>
      <w:r w:rsidR="000F2FFF" w:rsidRPr="00E46CE3">
        <w:t xml:space="preserve"> </w:t>
      </w:r>
      <w:r w:rsidR="00EE4401" w:rsidRPr="00E46CE3">
        <w:t>s</w:t>
      </w:r>
      <w:r w:rsidR="000F2FFF" w:rsidRPr="00E46CE3">
        <w:t>pecifically:</w:t>
      </w:r>
    </w:p>
    <w:p w14:paraId="1A306756" w14:textId="5D9151A9" w:rsidR="000F2FFF" w:rsidRPr="00E46CE3" w:rsidRDefault="000F2FFF" w:rsidP="000F2FFF">
      <w:pPr>
        <w:pStyle w:val="ListParagraph"/>
        <w:numPr>
          <w:ilvl w:val="0"/>
          <w:numId w:val="20"/>
        </w:numPr>
      </w:pPr>
      <w:r w:rsidRPr="00E46CE3">
        <w:t>VPS departments, including secretaries</w:t>
      </w:r>
    </w:p>
    <w:p w14:paraId="4DF9187F" w14:textId="77777777" w:rsidR="000F2FFF" w:rsidRPr="00E46CE3" w:rsidRDefault="000F2FFF" w:rsidP="000F2FFF">
      <w:pPr>
        <w:pStyle w:val="ListParagraph"/>
        <w:numPr>
          <w:ilvl w:val="0"/>
          <w:numId w:val="20"/>
        </w:numPr>
      </w:pPr>
      <w:r w:rsidRPr="00E46CE3">
        <w:t>Administrative Offices (AOs), including AO Heads</w:t>
      </w:r>
    </w:p>
    <w:p w14:paraId="21821C9A" w14:textId="77777777" w:rsidR="00343AF1" w:rsidRPr="00E46CE3" w:rsidRDefault="00343AF1" w:rsidP="00343AF1">
      <w:pPr>
        <w:pStyle w:val="ListParagraph"/>
        <w:numPr>
          <w:ilvl w:val="0"/>
          <w:numId w:val="20"/>
        </w:numPr>
      </w:pPr>
      <w:r w:rsidRPr="00E46CE3">
        <w:t xml:space="preserve">Victorian Public Sector Commission, including the Commissioner </w:t>
      </w:r>
    </w:p>
    <w:p w14:paraId="58BEB09C" w14:textId="1FFDE0C5" w:rsidR="00E9709B" w:rsidRPr="00E46CE3" w:rsidRDefault="00F92467" w:rsidP="00E9709B">
      <w:pPr>
        <w:pStyle w:val="ListParagraph"/>
        <w:numPr>
          <w:ilvl w:val="0"/>
          <w:numId w:val="20"/>
        </w:numPr>
      </w:pPr>
      <w:r w:rsidRPr="00E46CE3">
        <w:t>Public sector bodies</w:t>
      </w:r>
      <w:r w:rsidR="00E9709B" w:rsidRPr="00E46CE3">
        <w:t>, including</w:t>
      </w:r>
      <w:r w:rsidRPr="00E46CE3">
        <w:t xml:space="preserve"> public entities, declared authorities and their</w:t>
      </w:r>
      <w:r w:rsidR="00E9709B" w:rsidRPr="00E46CE3">
        <w:t xml:space="preserve"> Chief Executive Officers (CEOs) or equivalent </w:t>
      </w:r>
    </w:p>
    <w:p w14:paraId="3C87EB4E" w14:textId="73DDFCF2" w:rsidR="00A64D7D" w:rsidRPr="00E46CE3" w:rsidRDefault="00A64D7D" w:rsidP="00A64D7D">
      <w:bookmarkStart w:id="1" w:name="_Hlk77235833"/>
      <w:r w:rsidRPr="00E46CE3">
        <w:t xml:space="preserve">Worked examples of the adjustments required are at the end of this document at </w:t>
      </w:r>
      <w:r w:rsidRPr="00E46CE3">
        <w:rPr>
          <w:u w:val="single"/>
        </w:rPr>
        <w:t>Attachment A</w:t>
      </w:r>
      <w:r w:rsidRPr="00E46CE3">
        <w:t xml:space="preserve"> and will also be made available on the </w:t>
      </w:r>
      <w:r w:rsidR="00031E5A" w:rsidRPr="00E46CE3">
        <w:t xml:space="preserve">Public </w:t>
      </w:r>
      <w:r w:rsidR="00481F3A" w:rsidRPr="00E46CE3">
        <w:t xml:space="preserve">Entity </w:t>
      </w:r>
      <w:r w:rsidR="00031E5A" w:rsidRPr="00E46CE3">
        <w:t>E</w:t>
      </w:r>
      <w:r w:rsidRPr="00E46CE3">
        <w:t xml:space="preserve">xecutive </w:t>
      </w:r>
      <w:r w:rsidR="00031E5A" w:rsidRPr="00E46CE3">
        <w:t>R</w:t>
      </w:r>
      <w:r w:rsidRPr="00E46CE3">
        <w:t xml:space="preserve">emuneration </w:t>
      </w:r>
      <w:r w:rsidR="00481F3A" w:rsidRPr="00E46CE3">
        <w:t xml:space="preserve">Policy </w:t>
      </w:r>
      <w:hyperlink r:id="rId11" w:history="1">
        <w:r w:rsidR="007F241A" w:rsidRPr="00E46CE3">
          <w:rPr>
            <w:rStyle w:val="Hyperlink"/>
          </w:rPr>
          <w:t>webpage.</w:t>
        </w:r>
      </w:hyperlink>
      <w:r w:rsidRPr="00E46CE3">
        <w:t xml:space="preserve"> </w:t>
      </w:r>
    </w:p>
    <w:bookmarkEnd w:id="1"/>
    <w:p w14:paraId="00402483" w14:textId="53DCA4B1" w:rsidR="005C3EBD" w:rsidRPr="00E46CE3" w:rsidRDefault="005C3EBD" w:rsidP="000A1123">
      <w:pPr>
        <w:pStyle w:val="Heading2"/>
      </w:pPr>
      <w:r w:rsidRPr="00E46CE3">
        <w:t>Executive Handbook</w:t>
      </w:r>
    </w:p>
    <w:p w14:paraId="37C5597B" w14:textId="43A3360B" w:rsidR="005C3EBD" w:rsidRPr="00E46CE3" w:rsidRDefault="005C3EBD" w:rsidP="000A1123">
      <w:r w:rsidRPr="00E46CE3">
        <w:t xml:space="preserve">The </w:t>
      </w:r>
      <w:r w:rsidR="005816D2" w:rsidRPr="00E46CE3">
        <w:t xml:space="preserve">advice below is consistent with advice </w:t>
      </w:r>
      <w:r w:rsidR="00EC4A99" w:rsidRPr="00E46CE3">
        <w:t>provided in the</w:t>
      </w:r>
      <w:r w:rsidR="005816D2" w:rsidRPr="00E46CE3">
        <w:t xml:space="preserve"> </w:t>
      </w:r>
      <w:hyperlink r:id="rId12" w:history="1">
        <w:r w:rsidR="00EE4401" w:rsidRPr="00E46CE3">
          <w:rPr>
            <w:rStyle w:val="Hyperlink"/>
          </w:rPr>
          <w:t xml:space="preserve">VPS </w:t>
        </w:r>
        <w:r w:rsidRPr="00E46CE3">
          <w:rPr>
            <w:rStyle w:val="Hyperlink"/>
          </w:rPr>
          <w:t>Executive Employment Handbook</w:t>
        </w:r>
      </w:hyperlink>
      <w:r w:rsidR="00E9709B" w:rsidRPr="00E46CE3">
        <w:t xml:space="preserve"> and the </w:t>
      </w:r>
      <w:hyperlink r:id="rId13" w:history="1">
        <w:r w:rsidR="00E9709B" w:rsidRPr="00E46CE3">
          <w:rPr>
            <w:rStyle w:val="Hyperlink"/>
          </w:rPr>
          <w:t>Victorian Public Entity Executive Employment Handbook.</w:t>
        </w:r>
      </w:hyperlink>
    </w:p>
    <w:p w14:paraId="068BD22F" w14:textId="77777777" w:rsidR="00F42DB7" w:rsidRPr="00E46CE3" w:rsidRDefault="00F42DB7">
      <w:pPr>
        <w:spacing w:line="259" w:lineRule="auto"/>
        <w:rPr>
          <w:rFonts w:eastAsia="MS Gothic"/>
          <w:bCs/>
          <w:color w:val="0072CE"/>
          <w:kern w:val="32"/>
          <w:sz w:val="52"/>
          <w:szCs w:val="52"/>
        </w:rPr>
      </w:pPr>
      <w:bookmarkStart w:id="2" w:name="_Hlk74322576"/>
      <w:bookmarkEnd w:id="0"/>
      <w:r w:rsidRPr="00E46CE3">
        <w:br w:type="page"/>
      </w:r>
    </w:p>
    <w:p w14:paraId="2985027B" w14:textId="685B02EB" w:rsidR="005C3EBD" w:rsidRPr="00E46CE3" w:rsidRDefault="000361B2" w:rsidP="000361B2">
      <w:pPr>
        <w:pStyle w:val="Heading1"/>
      </w:pPr>
      <w:r w:rsidRPr="00E46CE3">
        <w:lastRenderedPageBreak/>
        <w:t>Questions and Answers</w:t>
      </w:r>
    </w:p>
    <w:bookmarkEnd w:id="2"/>
    <w:p w14:paraId="767A7649" w14:textId="0A3DAE53" w:rsidR="0052671E" w:rsidRPr="00E46CE3" w:rsidRDefault="0052671E" w:rsidP="0052671E">
      <w:pPr>
        <w:pStyle w:val="Heading2"/>
        <w:numPr>
          <w:ilvl w:val="0"/>
          <w:numId w:val="15"/>
        </w:numPr>
      </w:pPr>
      <w:r w:rsidRPr="00E46CE3">
        <w:t>What is the superannuation guarantee rate?</w:t>
      </w:r>
    </w:p>
    <w:p w14:paraId="5756B7FF" w14:textId="6A643B0F" w:rsidR="0052671E" w:rsidRPr="00E46CE3" w:rsidRDefault="0052671E" w:rsidP="0052671E">
      <w:r w:rsidRPr="00E46CE3">
        <w:t xml:space="preserve">The superannuation guarantee is the compulsory superannuation contribution employers are legally required to make into an employee’s accumulation fund, in compliance with the </w:t>
      </w:r>
      <w:r w:rsidRPr="00E46CE3">
        <w:rPr>
          <w:i/>
          <w:iCs/>
        </w:rPr>
        <w:t>Superannuation Guarantee (Administration) Act 1992</w:t>
      </w:r>
      <w:r w:rsidRPr="00E46CE3">
        <w:t xml:space="preserve"> (Cth).</w:t>
      </w:r>
    </w:p>
    <w:p w14:paraId="59EB2A32" w14:textId="5771EA18" w:rsidR="0052671E" w:rsidRPr="00E46CE3" w:rsidRDefault="0052671E" w:rsidP="00895391">
      <w:r w:rsidRPr="00E46CE3">
        <w:t xml:space="preserve">The compulsory superannuation contribution is </w:t>
      </w:r>
      <w:r w:rsidR="00EE4401" w:rsidRPr="00E46CE3">
        <w:t>10 per cent from 1 July 2021</w:t>
      </w:r>
      <w:r w:rsidRPr="00E46CE3">
        <w:t>.</w:t>
      </w:r>
    </w:p>
    <w:p w14:paraId="2DBEB295" w14:textId="48D87CE9" w:rsidR="0052671E" w:rsidRPr="00E46CE3" w:rsidRDefault="0052671E" w:rsidP="0052671E">
      <w:pPr>
        <w:pStyle w:val="Heading2"/>
        <w:numPr>
          <w:ilvl w:val="0"/>
          <w:numId w:val="15"/>
        </w:numPr>
      </w:pPr>
      <w:r w:rsidRPr="00E46CE3">
        <w:t>What ar</w:t>
      </w:r>
      <w:r w:rsidR="00895391" w:rsidRPr="00E46CE3">
        <w:t>e</w:t>
      </w:r>
      <w:r w:rsidRPr="00E46CE3">
        <w:t xml:space="preserve"> the changes to the </w:t>
      </w:r>
      <w:r w:rsidR="00EE4401" w:rsidRPr="00E46CE3">
        <w:t xml:space="preserve">superannuation guarantee </w:t>
      </w:r>
      <w:r w:rsidRPr="00E46CE3">
        <w:t xml:space="preserve">rate for </w:t>
      </w:r>
      <w:r w:rsidR="005D109C" w:rsidRPr="00E46CE3">
        <w:t>2021</w:t>
      </w:r>
      <w:r w:rsidRPr="00E46CE3">
        <w:t>-22?</w:t>
      </w:r>
    </w:p>
    <w:p w14:paraId="20D0087E" w14:textId="317A1F6F" w:rsidR="00895391" w:rsidRPr="00E46CE3" w:rsidRDefault="00895391" w:rsidP="0052671E">
      <w:r w:rsidRPr="00E46CE3">
        <w:t xml:space="preserve">There are legislated annual increases to </w:t>
      </w:r>
      <w:r w:rsidR="00EE4401" w:rsidRPr="00E46CE3">
        <w:t xml:space="preserve">the superannuation guarantee </w:t>
      </w:r>
      <w:r w:rsidRPr="00E46CE3">
        <w:t>rate scheduled between 2021 and 2025. Those increases must be passed on to eligible executives (see questions 1 and 4).</w:t>
      </w:r>
    </w:p>
    <w:p w14:paraId="2E24E0CC" w14:textId="60F9B039" w:rsidR="0052671E" w:rsidRPr="00E46CE3" w:rsidRDefault="0052671E" w:rsidP="0052671E">
      <w:r w:rsidRPr="00E46CE3">
        <w:t xml:space="preserve">From 1 July 2021, the </w:t>
      </w:r>
      <w:r w:rsidRPr="00E46CE3">
        <w:rPr>
          <w:i/>
          <w:iCs/>
        </w:rPr>
        <w:t>Superannuation Guarantee (Administration) Act 1992</w:t>
      </w:r>
      <w:r w:rsidRPr="00E46CE3">
        <w:t xml:space="preserve"> </w:t>
      </w:r>
      <w:r w:rsidR="00B76168" w:rsidRPr="00E46CE3">
        <w:t xml:space="preserve">(Cth) </w:t>
      </w:r>
      <w:r w:rsidRPr="00E46CE3">
        <w:t xml:space="preserve">provides for the </w:t>
      </w:r>
      <w:r w:rsidR="00EE4401" w:rsidRPr="00E46CE3">
        <w:t xml:space="preserve">superannuation guarantee </w:t>
      </w:r>
      <w:r w:rsidRPr="00E46CE3">
        <w:t xml:space="preserve">rate to increase from </w:t>
      </w:r>
      <w:hyperlink r:id="rId14" w:history="1">
        <w:r w:rsidRPr="00E46CE3">
          <w:rPr>
            <w:rStyle w:val="Hyperlink"/>
          </w:rPr>
          <w:t>9.5 per cent to 10 per cent</w:t>
        </w:r>
      </w:hyperlink>
      <w:r w:rsidRPr="00E46CE3">
        <w:t>.</w:t>
      </w:r>
    </w:p>
    <w:p w14:paraId="57D0C820" w14:textId="343CD85A" w:rsidR="0052671E" w:rsidRPr="00E46CE3" w:rsidRDefault="0052671E" w:rsidP="0052671E">
      <w:r w:rsidRPr="00E46CE3">
        <w:t xml:space="preserve">This means that from 1 July 2021, employers need to increase </w:t>
      </w:r>
      <w:r w:rsidR="00B76168" w:rsidRPr="00E46CE3">
        <w:t xml:space="preserve">their </w:t>
      </w:r>
      <w:r w:rsidRPr="00E46CE3">
        <w:t xml:space="preserve">superannuation contributions to 10 per cent, up to the maximum super contribution base (MSCB). In </w:t>
      </w:r>
      <w:r w:rsidR="005D109C" w:rsidRPr="00E46CE3">
        <w:t>2021</w:t>
      </w:r>
      <w:r w:rsidRPr="00E46CE3">
        <w:t xml:space="preserve">-22, the </w:t>
      </w:r>
      <w:hyperlink r:id="rId15" w:history="1">
        <w:r w:rsidRPr="00E46CE3">
          <w:rPr>
            <w:rStyle w:val="Hyperlink"/>
          </w:rPr>
          <w:t>MSCB is $</w:t>
        </w:r>
        <w:r w:rsidR="00B76168" w:rsidRPr="00E46CE3">
          <w:rPr>
            <w:rStyle w:val="Hyperlink"/>
          </w:rPr>
          <w:t>235,680</w:t>
        </w:r>
      </w:hyperlink>
      <w:r w:rsidRPr="00E46CE3">
        <w:t>.</w:t>
      </w:r>
    </w:p>
    <w:p w14:paraId="7041C406" w14:textId="77777777" w:rsidR="00B76168" w:rsidRPr="00E46CE3" w:rsidRDefault="00B76168" w:rsidP="00B76168">
      <w:pPr>
        <w:pStyle w:val="Heading2"/>
        <w:numPr>
          <w:ilvl w:val="0"/>
          <w:numId w:val="15"/>
        </w:numPr>
      </w:pPr>
      <w:r w:rsidRPr="00E46CE3">
        <w:t>What is the maximum superannuation contribution base (MSCB)?</w:t>
      </w:r>
    </w:p>
    <w:p w14:paraId="260A0DB9" w14:textId="7D316107" w:rsidR="00B76168" w:rsidRPr="00E46CE3" w:rsidRDefault="00B76168" w:rsidP="00B76168">
      <w:r w:rsidRPr="00E46CE3">
        <w:t>The MSCB is the maximum individual employee earnings on which an employer is required to pay the superannuation guarantee, i.e. the employer is not required to pay the superannuation guarantee on earnings above the MSCB. For executives earning below the MSCB, the employer is required to pay the superannuation guarantee on their total earnings.</w:t>
      </w:r>
    </w:p>
    <w:p w14:paraId="50AE8C9C" w14:textId="6EFD2403" w:rsidR="00B76168" w:rsidRPr="00E46CE3" w:rsidRDefault="00B76168" w:rsidP="00B76168">
      <w:r w:rsidRPr="00E46CE3">
        <w:t xml:space="preserve">As the </w:t>
      </w:r>
      <w:r w:rsidR="00EC4A99" w:rsidRPr="00E46CE3">
        <w:t>Australian Taxation Office</w:t>
      </w:r>
      <w:r w:rsidRPr="00E46CE3">
        <w:t xml:space="preserve"> </w:t>
      </w:r>
      <w:r w:rsidR="008E73D4" w:rsidRPr="00E46CE3">
        <w:t xml:space="preserve">(ATO) </w:t>
      </w:r>
      <w:r w:rsidRPr="00E46CE3">
        <w:t>index</w:t>
      </w:r>
      <w:r w:rsidR="00EC4A99" w:rsidRPr="00E46CE3">
        <w:t>es</w:t>
      </w:r>
      <w:r w:rsidRPr="00E46CE3">
        <w:t xml:space="preserve"> the MSCB each year, the amount of superannuation payable for executives who are members of superannuation accumulation schemes may increase each year as a result of this indexation.</w:t>
      </w:r>
    </w:p>
    <w:p w14:paraId="30B4288C" w14:textId="1D44C924" w:rsidR="00B76168" w:rsidRPr="00E46CE3" w:rsidRDefault="00B76168" w:rsidP="00B76168">
      <w:pPr>
        <w:pStyle w:val="Heading2"/>
        <w:numPr>
          <w:ilvl w:val="0"/>
          <w:numId w:val="15"/>
        </w:numPr>
      </w:pPr>
      <w:r w:rsidRPr="00E46CE3">
        <w:t xml:space="preserve">What is the MSCB indexation for </w:t>
      </w:r>
      <w:r w:rsidR="005D109C" w:rsidRPr="00E46CE3">
        <w:t>20</w:t>
      </w:r>
      <w:r w:rsidRPr="00E46CE3">
        <w:t>21-22?</w:t>
      </w:r>
    </w:p>
    <w:p w14:paraId="52980469" w14:textId="72E538C0" w:rsidR="00B76168" w:rsidRPr="00E46CE3" w:rsidRDefault="00B76168" w:rsidP="00B76168">
      <w:r w:rsidRPr="00E46CE3">
        <w:t xml:space="preserve">For </w:t>
      </w:r>
      <w:r w:rsidR="005D109C" w:rsidRPr="00E46CE3">
        <w:t>20</w:t>
      </w:r>
      <w:r w:rsidRPr="00E46CE3">
        <w:t xml:space="preserve">21-22, the </w:t>
      </w:r>
      <w:r w:rsidR="008E73D4" w:rsidRPr="00E46CE3">
        <w:t>ATO</w:t>
      </w:r>
      <w:r w:rsidRPr="00E46CE3">
        <w:t xml:space="preserve"> has set the MSCB at $</w:t>
      </w:r>
      <w:bookmarkStart w:id="3" w:name="_Hlk74315643"/>
      <w:r w:rsidRPr="00E46CE3">
        <w:t>235,680</w:t>
      </w:r>
      <w:bookmarkEnd w:id="3"/>
      <w:r w:rsidRPr="00E46CE3">
        <w:t xml:space="preserve"> per annum.</w:t>
      </w:r>
    </w:p>
    <w:p w14:paraId="19AEF484" w14:textId="4E8014C9" w:rsidR="00D11193" w:rsidRPr="00E46CE3" w:rsidRDefault="00B76168" w:rsidP="00D11193">
      <w:r w:rsidRPr="00E46CE3">
        <w:t xml:space="preserve">This means that </w:t>
      </w:r>
      <w:r w:rsidR="00586EC0" w:rsidRPr="00E46CE3">
        <w:t xml:space="preserve">executives </w:t>
      </w:r>
      <w:r w:rsidR="000D4B94" w:rsidRPr="00E46CE3">
        <w:t>on a total remuneration package</w:t>
      </w:r>
      <w:r w:rsidR="00F42DB7" w:rsidRPr="00E46CE3">
        <w:t xml:space="preserve"> (TRP)</w:t>
      </w:r>
      <w:r w:rsidRPr="00E46CE3">
        <w:t xml:space="preserve"> </w:t>
      </w:r>
      <w:r w:rsidR="00F42DB7" w:rsidRPr="00E46CE3">
        <w:t xml:space="preserve">greater </w:t>
      </w:r>
      <w:r w:rsidRPr="00E46CE3">
        <w:t xml:space="preserve">than $259,248 ($235,680 + 10% superannuation guarantee) </w:t>
      </w:r>
      <w:r w:rsidR="00F32D9C" w:rsidRPr="00E46CE3">
        <w:t>are</w:t>
      </w:r>
      <w:r w:rsidRPr="00E46CE3">
        <w:t xml:space="preserve"> entitled to a $</w:t>
      </w:r>
      <w:bookmarkStart w:id="4" w:name="_Hlk74316040"/>
      <w:r w:rsidRPr="00E46CE3">
        <w:t xml:space="preserve">1,874 </w:t>
      </w:r>
      <w:bookmarkEnd w:id="4"/>
      <w:r w:rsidRPr="00E46CE3">
        <w:t>increase to the employer contribution to their superannuation accumulation scheme.</w:t>
      </w:r>
    </w:p>
    <w:p w14:paraId="7E1341AD" w14:textId="77777777" w:rsidR="00D11193" w:rsidRPr="00E46CE3" w:rsidRDefault="00D11193" w:rsidP="00D11193">
      <w:pPr>
        <w:pStyle w:val="Heading2"/>
        <w:numPr>
          <w:ilvl w:val="0"/>
          <w:numId w:val="15"/>
        </w:numPr>
      </w:pPr>
      <w:r w:rsidRPr="00E46CE3">
        <w:lastRenderedPageBreak/>
        <w:t>Does the superannuation guarantee and MSCB apply to all executives?</w:t>
      </w:r>
    </w:p>
    <w:p w14:paraId="2021D44E" w14:textId="71706C86" w:rsidR="00F4363A" w:rsidRPr="00E46CE3" w:rsidRDefault="00D11193" w:rsidP="00D11193">
      <w:r w:rsidRPr="00E46CE3">
        <w:t xml:space="preserve">The superannuation guarantee and MSCB apply to executives who are members of accumulation schemes. </w:t>
      </w:r>
      <w:r w:rsidR="00F4363A" w:rsidRPr="00E46CE3">
        <w:t xml:space="preserve">However, for the purposes of superannuation adjustments, </w:t>
      </w:r>
      <w:r w:rsidR="00FA3DF6" w:rsidRPr="00E46CE3">
        <w:t>payroll providers should increase an executive’s superannuation by either the new superannuation guarantee rate or the MSCB</w:t>
      </w:r>
      <w:r w:rsidR="00F4363A" w:rsidRPr="00E46CE3">
        <w:t xml:space="preserve">. This is because the MSCB indexation is inclusive of the </w:t>
      </w:r>
      <w:r w:rsidR="00B01DC4" w:rsidRPr="00E46CE3">
        <w:t>new superannuation</w:t>
      </w:r>
      <w:r w:rsidR="00EE4401" w:rsidRPr="00E46CE3">
        <w:t xml:space="preserve"> guarantee </w:t>
      </w:r>
      <w:r w:rsidR="00F4363A" w:rsidRPr="00E46CE3">
        <w:t>rate.</w:t>
      </w:r>
    </w:p>
    <w:p w14:paraId="295A08E0" w14:textId="13CC9824" w:rsidR="00D11193" w:rsidRPr="00E46CE3" w:rsidRDefault="00D11193" w:rsidP="00D11193">
      <w:r w:rsidRPr="00E46CE3">
        <w:t>The superannuation guarantee and MSCB do not apply to executives who are members of defined benefits schemes (such as the Emergency Services and State Super Defined Benefits Scheme).</w:t>
      </w:r>
    </w:p>
    <w:p w14:paraId="0540157D" w14:textId="55026EFA" w:rsidR="00A03C8E" w:rsidRPr="00E46CE3" w:rsidRDefault="00A03C8E" w:rsidP="00E07CEA">
      <w:pPr>
        <w:pStyle w:val="Heading2"/>
        <w:numPr>
          <w:ilvl w:val="0"/>
          <w:numId w:val="15"/>
        </w:numPr>
      </w:pPr>
      <w:r w:rsidRPr="00E46CE3">
        <w:t xml:space="preserve">Why is the </w:t>
      </w:r>
      <w:r w:rsidR="008E73D4" w:rsidRPr="00E46CE3">
        <w:t xml:space="preserve">MSCB </w:t>
      </w:r>
      <w:r w:rsidRPr="00E46CE3">
        <w:t xml:space="preserve">indexation more this year than </w:t>
      </w:r>
      <w:r w:rsidR="00D11193" w:rsidRPr="00E46CE3">
        <w:t>in previous years</w:t>
      </w:r>
      <w:r w:rsidRPr="00E46CE3">
        <w:t>?</w:t>
      </w:r>
    </w:p>
    <w:p w14:paraId="431DC309" w14:textId="1A06D9F0" w:rsidR="0013609F" w:rsidRPr="00E46CE3" w:rsidRDefault="006E059D" w:rsidP="006F37BF">
      <w:r w:rsidRPr="00E46CE3">
        <w:t>The ATO determine</w:t>
      </w:r>
      <w:r w:rsidR="00FA3DF6" w:rsidRPr="00E46CE3">
        <w:t>s</w:t>
      </w:r>
      <w:r w:rsidRPr="00E46CE3">
        <w:t xml:space="preserve"> the MSCB each year. </w:t>
      </w:r>
      <w:r w:rsidR="00B76168" w:rsidRPr="00E46CE3">
        <w:t xml:space="preserve">In </w:t>
      </w:r>
      <w:r w:rsidR="005D109C" w:rsidRPr="00E46CE3">
        <w:t>20</w:t>
      </w:r>
      <w:r w:rsidR="00B76168" w:rsidRPr="00E46CE3">
        <w:t>21-22, t</w:t>
      </w:r>
      <w:r w:rsidR="0013609F" w:rsidRPr="00E46CE3">
        <w:t>he MSCB indexation</w:t>
      </w:r>
      <w:r w:rsidR="00B76168" w:rsidRPr="00E46CE3">
        <w:t xml:space="preserve"> </w:t>
      </w:r>
      <w:r w:rsidR="00D11193" w:rsidRPr="00E46CE3">
        <w:t>for</w:t>
      </w:r>
      <w:r w:rsidR="00B76168" w:rsidRPr="00E46CE3">
        <w:t xml:space="preserve"> affected executives</w:t>
      </w:r>
      <w:r w:rsidR="0013609F" w:rsidRPr="00E46CE3">
        <w:t xml:space="preserve"> </w:t>
      </w:r>
      <w:r w:rsidR="00B76168" w:rsidRPr="00E46CE3">
        <w:t xml:space="preserve">is $1,874. </w:t>
      </w:r>
      <w:r w:rsidR="00635618" w:rsidRPr="00E46CE3">
        <w:t>While i</w:t>
      </w:r>
      <w:r w:rsidR="00B76168" w:rsidRPr="00E46CE3">
        <w:t xml:space="preserve">n </w:t>
      </w:r>
      <w:r w:rsidR="005D109C" w:rsidRPr="00E46CE3">
        <w:t>2020</w:t>
      </w:r>
      <w:r w:rsidR="00B76168" w:rsidRPr="00E46CE3">
        <w:t>-21, the MSCB indexation payable was $692.</w:t>
      </w:r>
      <w:r w:rsidR="0013609F" w:rsidRPr="00E46CE3">
        <w:t xml:space="preserve"> </w:t>
      </w:r>
    </w:p>
    <w:p w14:paraId="0D98125F" w14:textId="1A3807D6" w:rsidR="00E8646D" w:rsidRPr="00E46CE3" w:rsidRDefault="006E059D" w:rsidP="00586EC0">
      <w:r w:rsidRPr="00E46CE3">
        <w:t xml:space="preserve">The </w:t>
      </w:r>
      <w:r w:rsidR="00BA0F56" w:rsidRPr="00E46CE3">
        <w:t>MSCB</w:t>
      </w:r>
      <w:r w:rsidR="00457B63" w:rsidRPr="00E46CE3">
        <w:t xml:space="preserve"> is </w:t>
      </w:r>
      <w:r w:rsidR="006F37BF" w:rsidRPr="00E46CE3">
        <w:t xml:space="preserve">calculated based on </w:t>
      </w:r>
      <w:r w:rsidR="00D11193" w:rsidRPr="00E46CE3">
        <w:t>the</w:t>
      </w:r>
      <w:r w:rsidR="00457B63" w:rsidRPr="00E46CE3">
        <w:t xml:space="preserve"> super</w:t>
      </w:r>
      <w:r w:rsidRPr="00E46CE3">
        <w:t>annuation</w:t>
      </w:r>
      <w:r w:rsidR="00457B63" w:rsidRPr="00E46CE3">
        <w:t xml:space="preserve"> guarantee rate</w:t>
      </w:r>
      <w:r w:rsidRPr="00E46CE3">
        <w:t xml:space="preserve">. The superannuation guarantee </w:t>
      </w:r>
      <w:r w:rsidR="00D11193" w:rsidRPr="00E46CE3">
        <w:t>rate is legislated to increase from 1 July 2021</w:t>
      </w:r>
      <w:r w:rsidRPr="00E46CE3">
        <w:t xml:space="preserve"> to 10 per cent</w:t>
      </w:r>
      <w:r w:rsidR="00D11193" w:rsidRPr="00E46CE3">
        <w:t>,</w:t>
      </w:r>
      <w:r w:rsidRPr="00E46CE3">
        <w:t xml:space="preserve"> an increase of 0.5</w:t>
      </w:r>
      <w:r w:rsidR="00635618" w:rsidRPr="00E46CE3">
        <w:t> </w:t>
      </w:r>
      <w:r w:rsidRPr="00E46CE3">
        <w:t>per</w:t>
      </w:r>
      <w:r w:rsidR="00635618" w:rsidRPr="00E46CE3">
        <w:t> </w:t>
      </w:r>
      <w:r w:rsidRPr="00E46CE3">
        <w:t>cent.</w:t>
      </w:r>
      <w:r w:rsidR="00D11193" w:rsidRPr="00E46CE3">
        <w:t xml:space="preserve"> </w:t>
      </w:r>
      <w:r w:rsidR="00E8646D" w:rsidRPr="00E46CE3">
        <w:t xml:space="preserve">This </w:t>
      </w:r>
      <w:r w:rsidRPr="00E46CE3">
        <w:t xml:space="preserve">has contributed to the </w:t>
      </w:r>
      <w:r w:rsidR="00E8646D" w:rsidRPr="00E46CE3">
        <w:t>higher indexation figure than in previous years</w:t>
      </w:r>
      <w:r w:rsidR="00D11193" w:rsidRPr="00E46CE3">
        <w:t>.</w:t>
      </w:r>
    </w:p>
    <w:p w14:paraId="7A1DECBF" w14:textId="618E5821" w:rsidR="00D11193" w:rsidRPr="00E46CE3" w:rsidRDefault="00D11193" w:rsidP="00B9650A">
      <w:pPr>
        <w:pStyle w:val="Heading2"/>
        <w:numPr>
          <w:ilvl w:val="0"/>
          <w:numId w:val="15"/>
        </w:numPr>
      </w:pPr>
      <w:r w:rsidRPr="00E46CE3">
        <w:t xml:space="preserve">Who pays for the mandatory increases to employer superannuation contributions? </w:t>
      </w:r>
    </w:p>
    <w:p w14:paraId="1815D9F4" w14:textId="103C0D0D" w:rsidR="00D11193" w:rsidRPr="00E46CE3" w:rsidRDefault="008242B9" w:rsidP="00B9650A">
      <w:r w:rsidRPr="00E46CE3">
        <w:t xml:space="preserve">As provided for </w:t>
      </w:r>
      <w:r w:rsidR="00D11193" w:rsidRPr="00E46CE3">
        <w:t xml:space="preserve">in clause 7.2(a)(B) of </w:t>
      </w:r>
      <w:r w:rsidR="00B9650A" w:rsidRPr="00E46CE3">
        <w:t xml:space="preserve">the </w:t>
      </w:r>
      <w:r w:rsidR="00D11193" w:rsidRPr="00E46CE3">
        <w:t>standard executive contract</w:t>
      </w:r>
      <w:r w:rsidR="00B9650A" w:rsidRPr="00E46CE3">
        <w:t>s for public service and public entity employers:</w:t>
      </w:r>
    </w:p>
    <w:p w14:paraId="3F3750E1" w14:textId="1915E25E" w:rsidR="00D11193" w:rsidRPr="00E46CE3" w:rsidRDefault="00D11193" w:rsidP="00B9650A">
      <w:pPr>
        <w:rPr>
          <w:i/>
          <w:iCs/>
        </w:rPr>
      </w:pPr>
      <w:r w:rsidRPr="00E46CE3">
        <w:rPr>
          <w:i/>
          <w:iCs/>
        </w:rPr>
        <w:t xml:space="preserve">If there is any change in the minimum superannuation contributions required to avoid a charge under the </w:t>
      </w:r>
      <w:r w:rsidRPr="00E46CE3">
        <w:t>Superannuation Guarantee (Administration) Act 1992</w:t>
      </w:r>
      <w:r w:rsidRPr="00E46CE3">
        <w:rPr>
          <w:i/>
          <w:iCs/>
        </w:rPr>
        <w:t xml:space="preserve"> (Cth), the superannuation contribution will be varied accordingly, and there will be no impact on your base salary.</w:t>
      </w:r>
    </w:p>
    <w:p w14:paraId="0BEC49A2" w14:textId="0416A9A8" w:rsidR="00D11193" w:rsidRPr="00E46CE3" w:rsidRDefault="00D11193" w:rsidP="00B9650A">
      <w:r w:rsidRPr="00E46CE3">
        <w:t>This means</w:t>
      </w:r>
      <w:r w:rsidR="00B9650A" w:rsidRPr="00E46CE3">
        <w:t xml:space="preserve"> public service</w:t>
      </w:r>
      <w:r w:rsidRPr="00E46CE3">
        <w:t xml:space="preserve"> and public entity employers whose executives use the </w:t>
      </w:r>
      <w:r w:rsidR="00FA3DF6" w:rsidRPr="00E46CE3">
        <w:t xml:space="preserve">standard </w:t>
      </w:r>
      <w:r w:rsidRPr="00E46CE3">
        <w:t>VPS Contract or Public Entity Contract must bear the cost of increases to both the superannuation guarantee and the annual ATO indexation of the MSCB</w:t>
      </w:r>
      <w:r w:rsidR="00FA3DF6" w:rsidRPr="00E46CE3">
        <w:t>, as applicable across their executive workforce.</w:t>
      </w:r>
    </w:p>
    <w:p w14:paraId="02D17D3C" w14:textId="3225B196" w:rsidR="00D11193" w:rsidRPr="00E46CE3" w:rsidRDefault="00D11193" w:rsidP="00B9650A">
      <w:pPr>
        <w:rPr>
          <w:i/>
          <w:iCs/>
          <w:u w:val="single"/>
        </w:rPr>
      </w:pPr>
      <w:r w:rsidRPr="00E46CE3">
        <w:rPr>
          <w:i/>
          <w:iCs/>
          <w:u w:val="single"/>
        </w:rPr>
        <w:t>For public entity executives on other contracts</w:t>
      </w:r>
      <w:r w:rsidR="00B9650A" w:rsidRPr="00E46CE3">
        <w:rPr>
          <w:i/>
          <w:iCs/>
          <w:u w:val="single"/>
        </w:rPr>
        <w:t>:</w:t>
      </w:r>
    </w:p>
    <w:p w14:paraId="369B2D19" w14:textId="71B7D661" w:rsidR="00D11193" w:rsidRPr="00E46CE3" w:rsidRDefault="00D11193" w:rsidP="00B9650A">
      <w:r w:rsidRPr="00E46CE3">
        <w:t xml:space="preserve">Public entities whose executives use another contract are required to comply with the terms of that contract. However, if there is discretion within the terms of the contract, employers are encouraged to follow the approach set out above that applies to the </w:t>
      </w:r>
      <w:r w:rsidR="00635618" w:rsidRPr="00E46CE3">
        <w:t>p</w:t>
      </w:r>
      <w:r w:rsidRPr="00E46CE3">
        <w:t xml:space="preserve">ublic </w:t>
      </w:r>
      <w:r w:rsidR="00635618" w:rsidRPr="00E46CE3">
        <w:t>e</w:t>
      </w:r>
      <w:r w:rsidRPr="00E46CE3">
        <w:t xml:space="preserve">ntity </w:t>
      </w:r>
      <w:r w:rsidR="00635618" w:rsidRPr="00E46CE3">
        <w:t>c</w:t>
      </w:r>
      <w:r w:rsidRPr="00E46CE3">
        <w:t>ontract, to promote consistency across the public sector.</w:t>
      </w:r>
    </w:p>
    <w:p w14:paraId="1874EFE1" w14:textId="4EA54D81" w:rsidR="00587A57" w:rsidRPr="00E46CE3" w:rsidRDefault="00E8646D" w:rsidP="00B9650A">
      <w:pPr>
        <w:pStyle w:val="Heading2"/>
        <w:numPr>
          <w:ilvl w:val="0"/>
          <w:numId w:val="15"/>
        </w:numPr>
      </w:pPr>
      <w:r w:rsidRPr="00E46CE3">
        <w:lastRenderedPageBreak/>
        <w:t>What if the employer is experiencing financial difficulty to</w:t>
      </w:r>
      <w:r w:rsidR="00587A57" w:rsidRPr="00E46CE3">
        <w:t xml:space="preserve"> fund the costs of increased superannuation contributions?</w:t>
      </w:r>
    </w:p>
    <w:p w14:paraId="3DE57C7C" w14:textId="308F7A44" w:rsidR="00B15B4B" w:rsidRPr="00E46CE3" w:rsidRDefault="00587A57" w:rsidP="006F37BF">
      <w:r w:rsidRPr="00E46CE3">
        <w:t xml:space="preserve">Given </w:t>
      </w:r>
      <w:r w:rsidR="007B1C3A" w:rsidRPr="00E46CE3">
        <w:t>clause 7.2(a)(B) of the standard executive contracts</w:t>
      </w:r>
      <w:r w:rsidRPr="00E46CE3">
        <w:t xml:space="preserve">, </w:t>
      </w:r>
      <w:r w:rsidR="006F37BF" w:rsidRPr="00E46CE3">
        <w:t xml:space="preserve">departments are expected to fund </w:t>
      </w:r>
      <w:r w:rsidR="005F3BE0" w:rsidRPr="00E46CE3">
        <w:t xml:space="preserve">the increase required under the </w:t>
      </w:r>
      <w:r w:rsidR="005F3BE0" w:rsidRPr="00E46CE3">
        <w:rPr>
          <w:i/>
          <w:color w:val="auto"/>
        </w:rPr>
        <w:t xml:space="preserve">Superannuation Guarantee (Administration) Act 1992 </w:t>
      </w:r>
      <w:r w:rsidR="005F3BE0" w:rsidRPr="00E46CE3">
        <w:rPr>
          <w:color w:val="auto"/>
        </w:rPr>
        <w:t xml:space="preserve">(Cth). </w:t>
      </w:r>
      <w:r w:rsidR="00B15B4B" w:rsidRPr="00E46CE3">
        <w:t>This should not be at the expense of an executive’s base salary.</w:t>
      </w:r>
    </w:p>
    <w:p w14:paraId="61B7F34F" w14:textId="576EDE8B" w:rsidR="00B9650A" w:rsidRPr="00E46CE3" w:rsidRDefault="00D23636" w:rsidP="00B9650A">
      <w:r w:rsidRPr="00E46CE3">
        <w:t>Any public sector employer</w:t>
      </w:r>
      <w:r w:rsidR="00B15B4B" w:rsidRPr="00E46CE3">
        <w:t xml:space="preserve"> </w:t>
      </w:r>
      <w:r w:rsidR="00587A57" w:rsidRPr="00E46CE3">
        <w:t>experiencing financial difficulty</w:t>
      </w:r>
      <w:r w:rsidR="005F3BE0" w:rsidRPr="00E46CE3">
        <w:t xml:space="preserve"> in </w:t>
      </w:r>
      <w:r w:rsidRPr="00E46CE3">
        <w:t xml:space="preserve">funding </w:t>
      </w:r>
      <w:r w:rsidR="005F3BE0" w:rsidRPr="00E46CE3">
        <w:t>the adjustments</w:t>
      </w:r>
      <w:r w:rsidRPr="00E46CE3">
        <w:t xml:space="preserve"> to superannuation</w:t>
      </w:r>
      <w:r w:rsidR="00B15B4B" w:rsidRPr="00E46CE3">
        <w:t xml:space="preserve"> </w:t>
      </w:r>
      <w:r w:rsidR="00587A57" w:rsidRPr="00E46CE3">
        <w:t>should</w:t>
      </w:r>
      <w:r w:rsidR="00B15B4B" w:rsidRPr="00E46CE3">
        <w:t xml:space="preserve"> </w:t>
      </w:r>
      <w:r w:rsidR="00587A57" w:rsidRPr="00E46CE3">
        <w:t>raise</w:t>
      </w:r>
      <w:r w:rsidRPr="00E46CE3">
        <w:t xml:space="preserve"> the matter</w:t>
      </w:r>
      <w:r w:rsidR="00C8016C">
        <w:t xml:space="preserve"> with</w:t>
      </w:r>
      <w:r w:rsidR="00587A57" w:rsidRPr="00E46CE3">
        <w:t xml:space="preserve"> </w:t>
      </w:r>
      <w:r w:rsidR="00281E0E" w:rsidRPr="00E46CE3">
        <w:t>their portfolio department.</w:t>
      </w:r>
    </w:p>
    <w:p w14:paraId="15DFA434" w14:textId="203B93AB" w:rsidR="00B9650A" w:rsidRPr="00E46CE3" w:rsidRDefault="00B9650A" w:rsidP="00B9650A">
      <w:pPr>
        <w:pStyle w:val="Heading2"/>
        <w:numPr>
          <w:ilvl w:val="0"/>
          <w:numId w:val="15"/>
        </w:numPr>
      </w:pPr>
      <w:r w:rsidRPr="00E46CE3">
        <w:t xml:space="preserve">How </w:t>
      </w:r>
      <w:r w:rsidR="00F4363A" w:rsidRPr="00E46CE3">
        <w:t>are superannuation adjustments</w:t>
      </w:r>
      <w:r w:rsidRPr="00E46CE3">
        <w:t xml:space="preserve"> reflected in the VPS Contract and Public Entity Contract?</w:t>
      </w:r>
    </w:p>
    <w:p w14:paraId="0E5D7268" w14:textId="77777777" w:rsidR="00F4363A" w:rsidRPr="00E46CE3" w:rsidRDefault="00B9650A" w:rsidP="00F4363A">
      <w:r w:rsidRPr="00E46CE3">
        <w:t>If an executive’s remuneration is described as: “base salary + other benefits + superannuation”, the change will be to the superannuation component only. The executive’s salary component and other benefits cannot be reduced to offset the additional superannuation payments.</w:t>
      </w:r>
    </w:p>
    <w:p w14:paraId="1781333D" w14:textId="6F6AAC8C" w:rsidR="0095568F" w:rsidRPr="00E46CE3" w:rsidRDefault="0095568F" w:rsidP="0095568F">
      <w:pPr>
        <w:pStyle w:val="Heading2"/>
        <w:numPr>
          <w:ilvl w:val="0"/>
          <w:numId w:val="15"/>
        </w:numPr>
      </w:pPr>
      <w:r w:rsidRPr="00E46CE3">
        <w:t xml:space="preserve">Are </w:t>
      </w:r>
      <w:r w:rsidR="007B1C3A" w:rsidRPr="00E46CE3">
        <w:t xml:space="preserve">public sector employers </w:t>
      </w:r>
      <w:r w:rsidRPr="00E46CE3">
        <w:t>required to issue a new pay schedule for executives’ contracts?</w:t>
      </w:r>
    </w:p>
    <w:p w14:paraId="32243083" w14:textId="77777777" w:rsidR="002B1AD6" w:rsidRPr="00E46CE3" w:rsidRDefault="0095568F" w:rsidP="0095568F">
      <w:r w:rsidRPr="00E46CE3">
        <w:t xml:space="preserve">No. The </w:t>
      </w:r>
      <w:r w:rsidR="00D23636" w:rsidRPr="00E46CE3">
        <w:t xml:space="preserve">superannuation guarantee </w:t>
      </w:r>
      <w:r w:rsidRPr="00E46CE3">
        <w:t xml:space="preserve">rate increase and MSCB indexation are legislated employer obligations and are not contingent on the pay schedule of an executive’s contract being updated before it can be passed on. </w:t>
      </w:r>
    </w:p>
    <w:p w14:paraId="7795DB15" w14:textId="77777777" w:rsidR="002B1AD6" w:rsidRPr="00E46CE3" w:rsidRDefault="002B1AD6" w:rsidP="0095568F">
      <w:r w:rsidRPr="00E46CE3">
        <w:t>The increases to superannuation contributions will be reflected in executive’s payslips.</w:t>
      </w:r>
    </w:p>
    <w:p w14:paraId="3C7960BE" w14:textId="22A7B5C1" w:rsidR="0095568F" w:rsidRPr="00E46CE3" w:rsidRDefault="002B1AD6" w:rsidP="0095568F">
      <w:r w:rsidRPr="00E46CE3">
        <w:t xml:space="preserve">An </w:t>
      </w:r>
      <w:r w:rsidR="0095568F" w:rsidRPr="00E46CE3">
        <w:t>employee may request an updated pay schedule to their contract from their relevant payroll or human resources at any time.</w:t>
      </w:r>
    </w:p>
    <w:p w14:paraId="40C2F6CF" w14:textId="5A79D06B" w:rsidR="00B9650A" w:rsidRPr="00E46CE3" w:rsidRDefault="00B9650A" w:rsidP="00F4363A">
      <w:pPr>
        <w:pStyle w:val="Heading2"/>
        <w:numPr>
          <w:ilvl w:val="0"/>
          <w:numId w:val="15"/>
        </w:numPr>
      </w:pPr>
      <w:r w:rsidRPr="00E46CE3">
        <w:t xml:space="preserve">Can </w:t>
      </w:r>
      <w:r w:rsidR="00F4363A" w:rsidRPr="00E46CE3">
        <w:t>the required superannuation adjustments</w:t>
      </w:r>
      <w:r w:rsidRPr="00E46CE3">
        <w:t xml:space="preserve"> be offset by the annual adjustment</w:t>
      </w:r>
      <w:r w:rsidR="0095568F" w:rsidRPr="00E46CE3">
        <w:t xml:space="preserve"> or vice versa</w:t>
      </w:r>
      <w:r w:rsidRPr="00E46CE3">
        <w:t>?</w:t>
      </w:r>
    </w:p>
    <w:p w14:paraId="128340F0" w14:textId="1237C032" w:rsidR="00B9650A" w:rsidRPr="00E46CE3" w:rsidRDefault="00B9650A" w:rsidP="00B9650A">
      <w:r w:rsidRPr="00E46CE3">
        <w:t xml:space="preserve">No. As per </w:t>
      </w:r>
      <w:r w:rsidR="007B1C3A" w:rsidRPr="00E46CE3">
        <w:t>clause 7.2(a)(B) in the standard executive contracts,</w:t>
      </w:r>
      <w:r w:rsidRPr="00E46CE3">
        <w:t xml:space="preserve"> employers bear the cost of increases to both the superannuation guarantee and the annual ATO indexation of the MSCB. This means </w:t>
      </w:r>
      <w:r w:rsidR="008E6668" w:rsidRPr="00E46CE3">
        <w:t>that</w:t>
      </w:r>
      <w:r w:rsidR="00F4363A" w:rsidRPr="00E46CE3">
        <w:t xml:space="preserve"> the</w:t>
      </w:r>
      <w:r w:rsidR="008E6668" w:rsidRPr="00E46CE3">
        <w:t xml:space="preserve"> application of the Premier’s guideline rate and either of the</w:t>
      </w:r>
      <w:r w:rsidR="00F4363A" w:rsidRPr="00E46CE3">
        <w:t xml:space="preserve"> required superannuation adjustments (</w:t>
      </w:r>
      <w:r w:rsidR="00D23636" w:rsidRPr="00E46CE3">
        <w:t xml:space="preserve">superannuation guarantee </w:t>
      </w:r>
      <w:r w:rsidR="00F4363A" w:rsidRPr="00E46CE3">
        <w:t xml:space="preserve">rate increase or MSCB indexation) </w:t>
      </w:r>
      <w:r w:rsidRPr="00E46CE3">
        <w:t xml:space="preserve">must be </w:t>
      </w:r>
      <w:r w:rsidR="008E6668" w:rsidRPr="00E46CE3">
        <w:t xml:space="preserve">calculated </w:t>
      </w:r>
      <w:r w:rsidRPr="00E46CE3">
        <w:t>separatel</w:t>
      </w:r>
      <w:r w:rsidR="008E6668" w:rsidRPr="00E46CE3">
        <w:t>y. However, both</w:t>
      </w:r>
      <w:r w:rsidR="00895391" w:rsidRPr="00E46CE3">
        <w:t xml:space="preserve"> should </w:t>
      </w:r>
      <w:r w:rsidR="008E6668" w:rsidRPr="00E46CE3">
        <w:t>be</w:t>
      </w:r>
      <w:r w:rsidR="00895391" w:rsidRPr="00E46CE3">
        <w:t xml:space="preserve"> calculated from 1 July 2021</w:t>
      </w:r>
      <w:r w:rsidRPr="00E46CE3">
        <w:t xml:space="preserve">. </w:t>
      </w:r>
    </w:p>
    <w:p w14:paraId="6C603EA0" w14:textId="6515ADB1" w:rsidR="00A03C8E" w:rsidRPr="00E46CE3" w:rsidRDefault="00A03C8E" w:rsidP="00B9650A">
      <w:pPr>
        <w:pStyle w:val="Heading2"/>
        <w:numPr>
          <w:ilvl w:val="0"/>
          <w:numId w:val="15"/>
        </w:numPr>
      </w:pPr>
      <w:r w:rsidRPr="00E46CE3">
        <w:t>How will the superannuation adjustments be processed?</w:t>
      </w:r>
    </w:p>
    <w:p w14:paraId="3B959AA9" w14:textId="126CBFB7" w:rsidR="00B01DC4" w:rsidRPr="00E46CE3" w:rsidRDefault="00895391" w:rsidP="00587A57">
      <w:r w:rsidRPr="00E46CE3">
        <w:t>Payroll</w:t>
      </w:r>
      <w:r w:rsidR="00B01DC4" w:rsidRPr="00E46CE3">
        <w:t xml:space="preserve"> providers</w:t>
      </w:r>
      <w:r w:rsidRPr="00E46CE3">
        <w:t xml:space="preserve"> should be aware of the changes to the </w:t>
      </w:r>
      <w:r w:rsidR="00D23636" w:rsidRPr="00E46CE3">
        <w:t xml:space="preserve">superannuation guarantee </w:t>
      </w:r>
      <w:r w:rsidRPr="00E46CE3">
        <w:t>rate and MSCB indexation and will make adjustment</w:t>
      </w:r>
      <w:r w:rsidR="00B01DC4" w:rsidRPr="00E46CE3">
        <w:t>s</w:t>
      </w:r>
      <w:r w:rsidRPr="00E46CE3">
        <w:t xml:space="preserve"> automatically. </w:t>
      </w:r>
      <w:bookmarkStart w:id="5" w:name="_Hlk75349526"/>
      <w:r w:rsidRPr="00E46CE3">
        <w:t xml:space="preserve">The </w:t>
      </w:r>
      <w:r w:rsidR="00B01DC4" w:rsidRPr="00E46CE3">
        <w:t>increases to superannuation contributions</w:t>
      </w:r>
      <w:r w:rsidRPr="00E46CE3">
        <w:t xml:space="preserve"> will be reflected in </w:t>
      </w:r>
      <w:r w:rsidR="00046CFF" w:rsidRPr="00E46CE3">
        <w:t xml:space="preserve">an </w:t>
      </w:r>
      <w:r w:rsidRPr="00E46CE3">
        <w:t>executive’s payslips.</w:t>
      </w:r>
      <w:bookmarkEnd w:id="5"/>
    </w:p>
    <w:p w14:paraId="3FE94BEE" w14:textId="64FF8ECD" w:rsidR="00895391" w:rsidRPr="00E46CE3" w:rsidRDefault="00B01DC4" w:rsidP="00587A57">
      <w:r w:rsidRPr="00E46CE3">
        <w:lastRenderedPageBreak/>
        <w:t>I</w:t>
      </w:r>
      <w:r w:rsidR="00895391" w:rsidRPr="00E46CE3">
        <w:t>f an executive has any questions about the content of their payslip, they should contact payroll or human resources in the first instances.</w:t>
      </w:r>
    </w:p>
    <w:p w14:paraId="5B628F31" w14:textId="3CC81ACF" w:rsidR="00A03C8E" w:rsidRPr="00E46CE3" w:rsidRDefault="00A03C8E" w:rsidP="00B9650A">
      <w:pPr>
        <w:pStyle w:val="Heading2"/>
        <w:numPr>
          <w:ilvl w:val="0"/>
          <w:numId w:val="15"/>
        </w:numPr>
      </w:pPr>
      <w:r w:rsidRPr="00E46CE3">
        <w:t xml:space="preserve">When can employees reasonably expect to see their </w:t>
      </w:r>
      <w:r w:rsidR="000D39DA" w:rsidRPr="00E46CE3">
        <w:t>superannuation</w:t>
      </w:r>
      <w:r w:rsidRPr="00E46CE3">
        <w:t xml:space="preserve"> adjustments processed?</w:t>
      </w:r>
    </w:p>
    <w:p w14:paraId="6D727B86" w14:textId="18C95197" w:rsidR="00451DF2" w:rsidRPr="00E46CE3" w:rsidRDefault="0013609F" w:rsidP="0095568F">
      <w:r w:rsidRPr="00E46CE3">
        <w:t xml:space="preserve">HR Directors should ensure that payroll </w:t>
      </w:r>
      <w:r w:rsidR="000D39DA" w:rsidRPr="00E46CE3">
        <w:t xml:space="preserve">providers </w:t>
      </w:r>
      <w:r w:rsidRPr="00E46CE3">
        <w:t xml:space="preserve">process the adjustments as </w:t>
      </w:r>
      <w:r w:rsidR="008B46C3" w:rsidRPr="00E46CE3">
        <w:t>soon as reasonably practicable</w:t>
      </w:r>
      <w:r w:rsidR="000D39DA" w:rsidRPr="00E46CE3">
        <w:t>. The superannuation adjustments should be calculated from 1</w:t>
      </w:r>
      <w:r w:rsidR="00D23636" w:rsidRPr="00E46CE3">
        <w:t> </w:t>
      </w:r>
      <w:r w:rsidR="000D39DA" w:rsidRPr="00E46CE3">
        <w:t>July</w:t>
      </w:r>
      <w:r w:rsidR="00D23636" w:rsidRPr="00E46CE3">
        <w:t> </w:t>
      </w:r>
      <w:r w:rsidR="000D39DA" w:rsidRPr="00E46CE3">
        <w:t>2021.</w:t>
      </w:r>
    </w:p>
    <w:p w14:paraId="0B9AF975" w14:textId="1B27F0B1" w:rsidR="00DE224A" w:rsidRPr="00E46CE3" w:rsidRDefault="00DE224A" w:rsidP="0095568F">
      <w:pPr>
        <w:pStyle w:val="Heading2"/>
        <w:numPr>
          <w:ilvl w:val="0"/>
          <w:numId w:val="15"/>
        </w:numPr>
      </w:pPr>
      <w:r w:rsidRPr="00E46CE3">
        <w:t>Is the Tribunal’s advice required if</w:t>
      </w:r>
      <w:r w:rsidR="0095568F" w:rsidRPr="00E46CE3">
        <w:t xml:space="preserve"> applying the necessary superannuation adjustment would result in them being paid above the maximum of the relevant band?</w:t>
      </w:r>
      <w:r w:rsidRPr="00E46CE3">
        <w:t xml:space="preserve"> </w:t>
      </w:r>
    </w:p>
    <w:p w14:paraId="52F7C5FE" w14:textId="16715626" w:rsidR="00D23636" w:rsidRPr="00E46CE3" w:rsidRDefault="008105A6" w:rsidP="0095568F">
      <w:r w:rsidRPr="00E46CE3">
        <w:t xml:space="preserve">No. </w:t>
      </w:r>
      <w:r w:rsidR="00DE224A" w:rsidRPr="00E46CE3">
        <w:t>The Tribunal</w:t>
      </w:r>
      <w:r w:rsidR="0095568F" w:rsidRPr="00E46CE3">
        <w:t xml:space="preserve"> has published a statement on its</w:t>
      </w:r>
      <w:r w:rsidR="00DE224A" w:rsidRPr="00E46CE3">
        <w:t xml:space="preserve"> </w:t>
      </w:r>
      <w:hyperlink r:id="rId16" w:history="1">
        <w:r w:rsidR="00DE224A" w:rsidRPr="00E46CE3">
          <w:rPr>
            <w:rStyle w:val="Hyperlink"/>
          </w:rPr>
          <w:t>website</w:t>
        </w:r>
      </w:hyperlink>
      <w:r w:rsidR="0095568F" w:rsidRPr="00E46CE3">
        <w:t xml:space="preserve"> that its advice is not required if an employer’s compliance </w:t>
      </w:r>
      <w:r w:rsidR="00DE224A" w:rsidRPr="00E46CE3">
        <w:t xml:space="preserve">with the </w:t>
      </w:r>
      <w:r w:rsidR="00DE224A" w:rsidRPr="00E46CE3">
        <w:rPr>
          <w:i/>
          <w:iCs/>
        </w:rPr>
        <w:t>Superannuation Guarantee (Administration) Act 1992</w:t>
      </w:r>
      <w:r w:rsidR="00DE224A" w:rsidRPr="00E46CE3">
        <w:t xml:space="preserve"> (Cth</w:t>
      </w:r>
      <w:r w:rsidR="0095568F" w:rsidRPr="00E46CE3">
        <w:t>)</w:t>
      </w:r>
      <w:r w:rsidR="00DE224A" w:rsidRPr="00E46CE3">
        <w:t xml:space="preserve"> results in</w:t>
      </w:r>
      <w:r w:rsidR="0095568F" w:rsidRPr="00E46CE3">
        <w:t xml:space="preserve"> an </w:t>
      </w:r>
      <w:r w:rsidR="00DE224A" w:rsidRPr="00E46CE3">
        <w:t>executive being paid above the maximum of the relevant remuneration band</w:t>
      </w:r>
      <w:r w:rsidR="0095568F" w:rsidRPr="00E46CE3">
        <w:t>.</w:t>
      </w:r>
      <w:r w:rsidR="00DE224A" w:rsidRPr="00E46CE3">
        <w:t xml:space="preserve"> </w:t>
      </w:r>
    </w:p>
    <w:p w14:paraId="6BF08BEF" w14:textId="59773763" w:rsidR="0028175A" w:rsidRPr="00E46CE3" w:rsidRDefault="0095568F" w:rsidP="004F2224">
      <w:r w:rsidRPr="00E46CE3">
        <w:t>In its statement, t</w:t>
      </w:r>
      <w:r w:rsidR="00DE224A" w:rsidRPr="00E46CE3">
        <w:t>he Tribunal considers that this does not constitute a “proposal” to pay above the remuneration band given the employer is giving effect to statutory provisions regarding superannuation benefits.</w:t>
      </w:r>
    </w:p>
    <w:p w14:paraId="0635380E" w14:textId="3DBD8FE0" w:rsidR="0028175A" w:rsidRPr="00E46CE3" w:rsidRDefault="0028175A" w:rsidP="0028175A">
      <w:pPr>
        <w:pStyle w:val="Heading2"/>
        <w:rPr>
          <w:b/>
          <w:bCs w:val="0"/>
        </w:rPr>
      </w:pPr>
      <w:bookmarkStart w:id="6" w:name="_Hlk74321912"/>
      <w:r w:rsidRPr="00E46CE3">
        <w:rPr>
          <w:b/>
          <w:bCs w:val="0"/>
        </w:rPr>
        <w:t>Further information</w:t>
      </w:r>
    </w:p>
    <w:p w14:paraId="42B417AD" w14:textId="77777777" w:rsidR="0028175A" w:rsidRPr="00E46CE3" w:rsidRDefault="0028175A" w:rsidP="0028175A">
      <w:pPr>
        <w:pStyle w:val="Heading2"/>
      </w:pPr>
      <w:r w:rsidRPr="00E46CE3">
        <w:t>Who can I contact for further information?</w:t>
      </w:r>
    </w:p>
    <w:p w14:paraId="34646CBE" w14:textId="7204BE03" w:rsidR="0028175A" w:rsidRPr="00E46CE3" w:rsidRDefault="0028175A" w:rsidP="0028175A">
      <w:r w:rsidRPr="00E46CE3">
        <w:t xml:space="preserve">Further information on executive employment arrangements </w:t>
      </w:r>
      <w:r w:rsidR="005E45E6" w:rsidRPr="00E46CE3">
        <w:t xml:space="preserve">is </w:t>
      </w:r>
      <w:r w:rsidRPr="00E46CE3">
        <w:t xml:space="preserve">accessible on the VPSC’s website. </w:t>
      </w:r>
      <w:r w:rsidR="00B01DC4" w:rsidRPr="00E46CE3">
        <w:t xml:space="preserve">The VPSC manages the VPS Standard Executive Contract, Standard Contract for Public Entity Executives, VPS Executive Employment Handbook and Victorian Public Entity Executive Employment Handbook. Questions concerning these documents can be directed to: </w:t>
      </w:r>
      <w:hyperlink r:id="rId17">
        <w:r w:rsidR="00B01DC4" w:rsidRPr="00E46CE3">
          <w:t>info@vpsc.vic.gov.au</w:t>
        </w:r>
      </w:hyperlink>
      <w:r w:rsidR="00B01DC4" w:rsidRPr="00E46CE3">
        <w:t>.</w:t>
      </w:r>
    </w:p>
    <w:p w14:paraId="0BAC8F8A" w14:textId="77777777" w:rsidR="0028175A" w:rsidRPr="00E46CE3" w:rsidRDefault="0028175A" w:rsidP="0028175A">
      <w:r w:rsidRPr="00E46CE3">
        <w:t xml:space="preserve">Questions about executive employment policy in relation to the annual adjustment rate and the requirement that employers bear the cost of superannuation indexation can be directed to </w:t>
      </w:r>
      <w:hyperlink r:id="rId18">
        <w:r w:rsidRPr="00E46CE3">
          <w:rPr>
            <w:color w:val="3366FF"/>
            <w:u w:val="single" w:color="3366FF"/>
          </w:rPr>
          <w:t>publicsectorworkforce@dpc.vic.gov.au</w:t>
        </w:r>
      </w:hyperlink>
    </w:p>
    <w:bookmarkEnd w:id="6"/>
    <w:p w14:paraId="221071F5" w14:textId="42128124" w:rsidR="0085746A" w:rsidRPr="00E46CE3" w:rsidRDefault="0085746A">
      <w:pPr>
        <w:spacing w:line="259" w:lineRule="auto"/>
      </w:pPr>
      <w:r w:rsidRPr="00E46CE3">
        <w:br w:type="page"/>
      </w:r>
    </w:p>
    <w:p w14:paraId="4561A515" w14:textId="218D3140" w:rsidR="00CD108A" w:rsidRPr="00E46CE3" w:rsidRDefault="00343B0F" w:rsidP="0085746A">
      <w:pPr>
        <w:rPr>
          <w:rFonts w:eastAsia="MS Gothic" w:cs="Times New Roman"/>
          <w:b/>
          <w:iCs/>
          <w:color w:val="0072CE"/>
          <w:sz w:val="36"/>
          <w:szCs w:val="36"/>
        </w:rPr>
      </w:pPr>
      <w:bookmarkStart w:id="7" w:name="_Hlk77237466"/>
      <w:r w:rsidRPr="00E46CE3">
        <w:rPr>
          <w:rFonts w:eastAsia="MS Gothic" w:cs="Times New Roman"/>
          <w:b/>
          <w:iCs/>
          <w:color w:val="0072CE"/>
          <w:sz w:val="36"/>
          <w:szCs w:val="36"/>
        </w:rPr>
        <w:lastRenderedPageBreak/>
        <w:t xml:space="preserve">Attachment A – </w:t>
      </w:r>
      <w:r w:rsidR="00CD108A" w:rsidRPr="00E46CE3">
        <w:rPr>
          <w:rFonts w:eastAsia="MS Gothic" w:cs="Times New Roman"/>
          <w:b/>
          <w:iCs/>
          <w:color w:val="0072CE"/>
          <w:sz w:val="36"/>
          <w:szCs w:val="36"/>
        </w:rPr>
        <w:t>E</w:t>
      </w:r>
      <w:r w:rsidR="0085746A" w:rsidRPr="00E46CE3">
        <w:rPr>
          <w:rFonts w:eastAsia="MS Gothic" w:cs="Times New Roman"/>
          <w:b/>
          <w:iCs/>
          <w:color w:val="0072CE"/>
          <w:sz w:val="36"/>
          <w:szCs w:val="36"/>
        </w:rPr>
        <w:t>xample</w:t>
      </w:r>
      <w:r w:rsidR="00CD108A" w:rsidRPr="00E46CE3">
        <w:rPr>
          <w:rFonts w:eastAsia="MS Gothic" w:cs="Times New Roman"/>
          <w:b/>
          <w:iCs/>
          <w:color w:val="0072CE"/>
          <w:sz w:val="36"/>
          <w:szCs w:val="36"/>
        </w:rPr>
        <w:t xml:space="preserve"> calculations</w:t>
      </w:r>
      <w:r w:rsidR="00EC5AC2" w:rsidRPr="00E46CE3">
        <w:rPr>
          <w:rFonts w:eastAsia="MS Gothic" w:cs="Times New Roman"/>
          <w:b/>
          <w:iCs/>
          <w:color w:val="0072CE"/>
          <w:sz w:val="36"/>
          <w:szCs w:val="36"/>
        </w:rPr>
        <w:t xml:space="preserve"> for HR practitioners</w:t>
      </w:r>
    </w:p>
    <w:p w14:paraId="06ACF80F" w14:textId="51E6290E" w:rsidR="003D479A" w:rsidRPr="00E46CE3" w:rsidRDefault="003D479A" w:rsidP="00196AA2">
      <w:pPr>
        <w:pStyle w:val="Heading2"/>
      </w:pPr>
      <w:r w:rsidRPr="00E46CE3">
        <w:t>Overview</w:t>
      </w:r>
    </w:p>
    <w:p w14:paraId="661EEE76" w14:textId="72F3671B" w:rsidR="003D479A" w:rsidRPr="00E46CE3" w:rsidRDefault="003D479A" w:rsidP="0085746A">
      <w:r w:rsidRPr="00E46CE3">
        <w:t xml:space="preserve">The </w:t>
      </w:r>
      <w:r w:rsidR="00456BBF" w:rsidRPr="00E46CE3">
        <w:t>example calculations</w:t>
      </w:r>
      <w:r w:rsidRPr="00E46CE3">
        <w:t xml:space="preserve"> </w:t>
      </w:r>
      <w:r w:rsidR="00CD108A" w:rsidRPr="00E46CE3">
        <w:t>below</w:t>
      </w:r>
      <w:r w:rsidRPr="00E46CE3">
        <w:t xml:space="preserve"> may assist HR practitioners </w:t>
      </w:r>
      <w:r w:rsidR="008057C9" w:rsidRPr="00E46CE3">
        <w:t xml:space="preserve">in applying </w:t>
      </w:r>
      <w:r w:rsidRPr="00E46CE3">
        <w:t xml:space="preserve">executive remuneration </w:t>
      </w:r>
      <w:r w:rsidR="008057C9" w:rsidRPr="00E46CE3">
        <w:t xml:space="preserve">and superannuation </w:t>
      </w:r>
      <w:r w:rsidRPr="00E46CE3">
        <w:t>adjustment</w:t>
      </w:r>
      <w:r w:rsidR="008057C9" w:rsidRPr="00E46CE3">
        <w:t>s</w:t>
      </w:r>
      <w:r w:rsidRPr="00E46CE3">
        <w:t xml:space="preserve"> </w:t>
      </w:r>
      <w:r w:rsidR="00544C27" w:rsidRPr="00E46CE3">
        <w:t>for</w:t>
      </w:r>
      <w:r w:rsidRPr="00E46CE3">
        <w:t xml:space="preserve"> </w:t>
      </w:r>
      <w:r w:rsidR="00783058" w:rsidRPr="00E46CE3">
        <w:t>20</w:t>
      </w:r>
      <w:r w:rsidRPr="00E46CE3">
        <w:t>21-22.</w:t>
      </w:r>
    </w:p>
    <w:p w14:paraId="7EC76CD1" w14:textId="720EF313" w:rsidR="002B739C" w:rsidRPr="00E46CE3" w:rsidRDefault="002B739C" w:rsidP="0085746A">
      <w:r w:rsidRPr="00E46CE3">
        <w:t>For clarity, the ‘salary component’ of an executives TRP includes all monetary benefits, including any executive vehicle and/or fringe benefits tax payable; the ‘salary component’ does not include superannuation.</w:t>
      </w:r>
    </w:p>
    <w:p w14:paraId="2E60B419" w14:textId="64DA796C" w:rsidR="00456BBF" w:rsidRPr="00E46CE3" w:rsidRDefault="003D479A" w:rsidP="0085746A">
      <w:r w:rsidRPr="00E46CE3">
        <w:t xml:space="preserve">Please note, these </w:t>
      </w:r>
      <w:r w:rsidR="008057C9" w:rsidRPr="00E46CE3">
        <w:t>calculations</w:t>
      </w:r>
      <w:r w:rsidRPr="00E46CE3">
        <w:t xml:space="preserve"> </w:t>
      </w:r>
      <w:r w:rsidR="00456BBF" w:rsidRPr="00E46CE3">
        <w:t xml:space="preserve">are </w:t>
      </w:r>
      <w:r w:rsidR="008057C9" w:rsidRPr="00E46CE3">
        <w:t>examples</w:t>
      </w:r>
      <w:r w:rsidR="00456BBF" w:rsidRPr="00E46CE3">
        <w:t xml:space="preserve"> only.</w:t>
      </w:r>
      <w:r w:rsidRPr="00E46CE3">
        <w:t xml:space="preserve"> </w:t>
      </w:r>
      <w:r w:rsidR="00456BBF" w:rsidRPr="00E46CE3">
        <w:t xml:space="preserve">HR practitioners </w:t>
      </w:r>
      <w:r w:rsidR="00492B22" w:rsidRPr="00E46CE3">
        <w:t xml:space="preserve">and payroll providers </w:t>
      </w:r>
      <w:r w:rsidR="00456BBF" w:rsidRPr="00E46CE3">
        <w:t>should consider how the adjustment</w:t>
      </w:r>
      <w:r w:rsidR="00492B22" w:rsidRPr="00E46CE3">
        <w:t xml:space="preserve">s </w:t>
      </w:r>
      <w:r w:rsidR="00456BBF" w:rsidRPr="00E46CE3">
        <w:t>apply to each executive’s</w:t>
      </w:r>
      <w:r w:rsidR="005E4CB4" w:rsidRPr="00E46CE3">
        <w:t xml:space="preserve"> individual</w:t>
      </w:r>
      <w:r w:rsidR="00456BBF" w:rsidRPr="00E46CE3">
        <w:t xml:space="preserve"> circumstances.</w:t>
      </w:r>
    </w:p>
    <w:p w14:paraId="78AAFEC4" w14:textId="70B3BD5A" w:rsidR="009C03E9" w:rsidRPr="00E46CE3" w:rsidRDefault="009C03E9" w:rsidP="00196AA2">
      <w:pPr>
        <w:pStyle w:val="Heading2"/>
      </w:pPr>
      <w:r w:rsidRPr="00E46CE3">
        <w:t>Examples</w:t>
      </w:r>
    </w:p>
    <w:p w14:paraId="0E43122A" w14:textId="4C8C9F02" w:rsidR="009C03E9" w:rsidRPr="00E46CE3" w:rsidRDefault="009C03E9" w:rsidP="009C03E9">
      <w:pPr>
        <w:rPr>
          <w:b/>
          <w:bCs/>
        </w:rPr>
      </w:pPr>
      <w:r w:rsidRPr="00E46CE3">
        <w:rPr>
          <w:b/>
          <w:bCs/>
        </w:rPr>
        <w:t>Executive</w:t>
      </w:r>
      <w:r w:rsidR="007D12E5" w:rsidRPr="00E46CE3">
        <w:rPr>
          <w:b/>
          <w:bCs/>
        </w:rPr>
        <w:t xml:space="preserve"> A:</w:t>
      </w:r>
      <w:r w:rsidRPr="00E46CE3">
        <w:rPr>
          <w:b/>
          <w:bCs/>
        </w:rPr>
        <w:t xml:space="preserve"> remuneration expressed as TRP</w:t>
      </w:r>
      <w:r w:rsidR="007D12E5" w:rsidRPr="00E46CE3">
        <w:rPr>
          <w:b/>
          <w:bCs/>
        </w:rPr>
        <w:t xml:space="preserve">, with </w:t>
      </w:r>
      <w:r w:rsidR="0060237E" w:rsidRPr="00E46CE3">
        <w:rPr>
          <w:b/>
          <w:bCs/>
        </w:rPr>
        <w:t xml:space="preserve">the current </w:t>
      </w:r>
      <w:r w:rsidR="007D12E5" w:rsidRPr="00E46CE3">
        <w:rPr>
          <w:b/>
          <w:bCs/>
        </w:rPr>
        <w:t>TRP</w:t>
      </w:r>
      <w:r w:rsidR="0060237E" w:rsidRPr="00E46CE3">
        <w:rPr>
          <w:b/>
          <w:bCs/>
        </w:rPr>
        <w:t xml:space="preserve"> being</w:t>
      </w:r>
      <w:r w:rsidR="007D12E5" w:rsidRPr="00E46CE3">
        <w:rPr>
          <w:b/>
          <w:bCs/>
        </w:rPr>
        <w:t xml:space="preserve"> </w:t>
      </w:r>
      <w:r w:rsidR="00F7506A" w:rsidRPr="00E46CE3">
        <w:rPr>
          <w:b/>
          <w:bCs/>
        </w:rPr>
        <w:t>less than</w:t>
      </w:r>
      <w:r w:rsidRPr="00E46CE3">
        <w:rPr>
          <w:b/>
          <w:bCs/>
        </w:rPr>
        <w:t xml:space="preserve"> the </w:t>
      </w:r>
      <w:r w:rsidR="00A3487E" w:rsidRPr="00E46CE3">
        <w:rPr>
          <w:b/>
          <w:bCs/>
        </w:rPr>
        <w:t xml:space="preserve">relevant </w:t>
      </w:r>
      <w:r w:rsidRPr="00E46CE3">
        <w:rPr>
          <w:b/>
          <w:bCs/>
        </w:rPr>
        <w:t xml:space="preserve">remuneration band </w:t>
      </w:r>
      <w:r w:rsidR="00A3487E" w:rsidRPr="00E46CE3">
        <w:rPr>
          <w:b/>
          <w:bCs/>
        </w:rPr>
        <w:t>set in</w:t>
      </w:r>
      <w:r w:rsidRPr="00E46CE3">
        <w:rPr>
          <w:b/>
          <w:bCs/>
        </w:rPr>
        <w:t xml:space="preserve"> the VPS AA Determination</w:t>
      </w:r>
      <w:r w:rsidR="007D12E5" w:rsidRPr="00E46CE3">
        <w:rPr>
          <w:b/>
          <w:bCs/>
        </w:rPr>
        <w:t xml:space="preserve"> </w:t>
      </w:r>
    </w:p>
    <w:p w14:paraId="37E20D49" w14:textId="2F5F767A" w:rsidR="0060237E" w:rsidRPr="00E46CE3" w:rsidRDefault="007D12E5" w:rsidP="007D12E5">
      <w:pPr>
        <w:pStyle w:val="ListParagraph"/>
        <w:numPr>
          <w:ilvl w:val="0"/>
          <w:numId w:val="20"/>
        </w:numPr>
        <w:rPr>
          <w:b/>
          <w:bCs/>
        </w:rPr>
      </w:pPr>
      <w:r w:rsidRPr="00E46CE3">
        <w:t xml:space="preserve">An executive has a TRP </w:t>
      </w:r>
      <w:r w:rsidR="00F7506A" w:rsidRPr="00E46CE3">
        <w:t>less than</w:t>
      </w:r>
      <w:r w:rsidRPr="00E46CE3">
        <w:t xml:space="preserve"> </w:t>
      </w:r>
      <w:r w:rsidR="00A3487E" w:rsidRPr="00E46CE3">
        <w:t xml:space="preserve">the </w:t>
      </w:r>
      <w:r w:rsidR="0060237E" w:rsidRPr="00E46CE3">
        <w:t>relevant band, inclusive of 9.5 per cent superannuation and other benefits, as at 30 June 2021.</w:t>
      </w:r>
    </w:p>
    <w:p w14:paraId="308A19E5" w14:textId="3E0B41BF" w:rsidR="007D12E5" w:rsidRPr="00E46CE3" w:rsidRDefault="0060237E" w:rsidP="00196AA2">
      <w:pPr>
        <w:pStyle w:val="ListParagraph"/>
        <w:numPr>
          <w:ilvl w:val="1"/>
          <w:numId w:val="20"/>
        </w:numPr>
        <w:rPr>
          <w:b/>
          <w:bCs/>
        </w:rPr>
      </w:pPr>
      <w:r w:rsidRPr="00E46CE3">
        <w:t>For example</w:t>
      </w:r>
      <w:r w:rsidR="002B1282" w:rsidRPr="00E46CE3">
        <w:t>,</w:t>
      </w:r>
      <w:r w:rsidRPr="00E46CE3">
        <w:t xml:space="preserve"> an </w:t>
      </w:r>
      <w:r w:rsidR="00A3487E" w:rsidRPr="00E46CE3">
        <w:t>SES-1</w:t>
      </w:r>
      <w:r w:rsidR="00F7506A" w:rsidRPr="00E46CE3">
        <w:t>classified executive</w:t>
      </w:r>
      <w:r w:rsidRPr="00E46CE3">
        <w:t xml:space="preserve"> with a TRP less than</w:t>
      </w:r>
      <w:r w:rsidR="00A3487E" w:rsidRPr="00E46CE3">
        <w:t xml:space="preserve"> </w:t>
      </w:r>
      <w:r w:rsidR="007D12E5" w:rsidRPr="00E46CE3">
        <w:t>$199,014</w:t>
      </w:r>
      <w:r w:rsidRPr="00E46CE3">
        <w:t>.</w:t>
      </w:r>
    </w:p>
    <w:p w14:paraId="739A1406" w14:textId="74458AE2" w:rsidR="007D12E5" w:rsidRPr="00E46CE3" w:rsidRDefault="007D12E5" w:rsidP="007D12E5">
      <w:pPr>
        <w:pStyle w:val="ListParagraph"/>
        <w:numPr>
          <w:ilvl w:val="0"/>
          <w:numId w:val="20"/>
        </w:numPr>
        <w:rPr>
          <w:b/>
          <w:bCs/>
        </w:rPr>
      </w:pPr>
      <w:r w:rsidRPr="00E46CE3">
        <w:t>From 1 July 2021, the employer will need to pass on the following adjustments in full:</w:t>
      </w:r>
    </w:p>
    <w:p w14:paraId="7AA7B487" w14:textId="60FED41C" w:rsidR="0060237E" w:rsidRPr="00E46CE3" w:rsidRDefault="00183BC7" w:rsidP="00183BC7">
      <w:pPr>
        <w:pStyle w:val="ListParagraph"/>
        <w:numPr>
          <w:ilvl w:val="1"/>
          <w:numId w:val="20"/>
        </w:numPr>
        <w:rPr>
          <w:b/>
          <w:bCs/>
        </w:rPr>
      </w:pPr>
      <w:r w:rsidRPr="00E46CE3">
        <w:t xml:space="preserve">Increase the executive’s TRP to the </w:t>
      </w:r>
      <w:r w:rsidR="00492B22" w:rsidRPr="00E46CE3">
        <w:t>base</w:t>
      </w:r>
      <w:r w:rsidRPr="00E46CE3">
        <w:t xml:space="preserve"> of the relevant remuneration band.</w:t>
      </w:r>
    </w:p>
    <w:p w14:paraId="2AEDF48B" w14:textId="7A3331BA" w:rsidR="00183BC7" w:rsidRPr="00E46CE3" w:rsidRDefault="00A3487E" w:rsidP="00183BC7">
      <w:pPr>
        <w:pStyle w:val="ListParagraph"/>
        <w:numPr>
          <w:ilvl w:val="1"/>
          <w:numId w:val="20"/>
        </w:numPr>
        <w:rPr>
          <w:b/>
          <w:bCs/>
        </w:rPr>
      </w:pPr>
      <w:r w:rsidRPr="00E46CE3">
        <w:t>For an executive classified at the SES-1 level, the</w:t>
      </w:r>
      <w:r w:rsidR="0060237E" w:rsidRPr="00E46CE3">
        <w:t xml:space="preserve">ir TRP must be adjusted to </w:t>
      </w:r>
      <w:r w:rsidR="00BC4E1E" w:rsidRPr="00E46CE3">
        <w:t>$199,014</w:t>
      </w:r>
      <w:r w:rsidR="0060237E" w:rsidRPr="00E46CE3">
        <w:t>.</w:t>
      </w:r>
    </w:p>
    <w:p w14:paraId="19079C4B" w14:textId="728A80A6" w:rsidR="00783058" w:rsidRPr="00E46CE3" w:rsidRDefault="00783058" w:rsidP="00EF1A16">
      <w:pPr>
        <w:pStyle w:val="ListParagraph"/>
        <w:numPr>
          <w:ilvl w:val="0"/>
          <w:numId w:val="20"/>
        </w:numPr>
      </w:pPr>
      <w:r w:rsidRPr="00E46CE3">
        <w:rPr>
          <w:color w:val="auto"/>
        </w:rPr>
        <w:t xml:space="preserve">The Premier’s guideline rate provides discretion for an employer to pass on an additional increase to the executive, provided the increase to the salary component is no greater than 1.5 per cent for 2021-22 (that is, capped at the guideline rate). </w:t>
      </w:r>
    </w:p>
    <w:p w14:paraId="051D39E1" w14:textId="77777777" w:rsidR="005D109C" w:rsidRPr="00E46CE3" w:rsidRDefault="005D109C" w:rsidP="005D109C">
      <w:pPr>
        <w:pStyle w:val="ListParagraph"/>
        <w:numPr>
          <w:ilvl w:val="0"/>
          <w:numId w:val="20"/>
        </w:numPr>
      </w:pPr>
      <w:r w:rsidRPr="00E46CE3">
        <w:t>No further increases are required to give effect to the new superannuation guarantee rate (10 per cent for 2021-22), as the Tribunal’s annual adjustment Determinations include the increased rate in 2021.</w:t>
      </w:r>
    </w:p>
    <w:p w14:paraId="07880283" w14:textId="38790112" w:rsidR="0085746A" w:rsidRPr="00E46CE3" w:rsidRDefault="0085746A" w:rsidP="00183BC7">
      <w:pPr>
        <w:rPr>
          <w:b/>
          <w:bCs/>
        </w:rPr>
      </w:pPr>
      <w:r w:rsidRPr="00E46CE3">
        <w:rPr>
          <w:b/>
          <w:bCs/>
        </w:rPr>
        <w:t>Executive</w:t>
      </w:r>
      <w:r w:rsidR="00183BC7" w:rsidRPr="00E46CE3">
        <w:rPr>
          <w:b/>
          <w:bCs/>
        </w:rPr>
        <w:t xml:space="preserve"> B</w:t>
      </w:r>
      <w:r w:rsidR="009C03E9" w:rsidRPr="00E46CE3">
        <w:rPr>
          <w:b/>
          <w:bCs/>
        </w:rPr>
        <w:t xml:space="preserve">: </w:t>
      </w:r>
      <w:r w:rsidRPr="00E46CE3">
        <w:rPr>
          <w:b/>
          <w:bCs/>
        </w:rPr>
        <w:t>remuneration expressed as TR</w:t>
      </w:r>
      <w:r w:rsidR="009C03E9" w:rsidRPr="00E46CE3">
        <w:rPr>
          <w:b/>
          <w:bCs/>
        </w:rPr>
        <w:t xml:space="preserve">P, with a </w:t>
      </w:r>
      <w:r w:rsidR="00812C9F" w:rsidRPr="00E46CE3">
        <w:rPr>
          <w:b/>
          <w:bCs/>
        </w:rPr>
        <w:t>salary component</w:t>
      </w:r>
      <w:r w:rsidRPr="00E46CE3">
        <w:rPr>
          <w:b/>
          <w:bCs/>
        </w:rPr>
        <w:t xml:space="preserve"> </w:t>
      </w:r>
      <w:r w:rsidR="00AA010B" w:rsidRPr="00E46CE3">
        <w:rPr>
          <w:b/>
          <w:bCs/>
        </w:rPr>
        <w:t>below the</w:t>
      </w:r>
      <w:r w:rsidRPr="00E46CE3">
        <w:rPr>
          <w:b/>
          <w:bCs/>
        </w:rPr>
        <w:t xml:space="preserve"> MSCB</w:t>
      </w:r>
    </w:p>
    <w:p w14:paraId="07D51FB4" w14:textId="2D5EBB9D" w:rsidR="0085746A" w:rsidRPr="00E46CE3" w:rsidRDefault="00456BBF" w:rsidP="00456BBF">
      <w:pPr>
        <w:pStyle w:val="ListParagraph"/>
        <w:numPr>
          <w:ilvl w:val="0"/>
          <w:numId w:val="20"/>
        </w:numPr>
      </w:pPr>
      <w:r w:rsidRPr="00E46CE3">
        <w:t>An executive has a</w:t>
      </w:r>
      <w:r w:rsidR="0085746A" w:rsidRPr="00E46CE3">
        <w:t xml:space="preserve"> TRP of $200,000 inclusive</w:t>
      </w:r>
      <w:r w:rsidRPr="00E46CE3">
        <w:t xml:space="preserve"> of</w:t>
      </w:r>
      <w:r w:rsidR="0085746A" w:rsidRPr="00E46CE3">
        <w:t xml:space="preserve"> </w:t>
      </w:r>
      <w:r w:rsidRPr="00E46CE3">
        <w:t>9.5</w:t>
      </w:r>
      <w:r w:rsidR="0085746A" w:rsidRPr="00E46CE3">
        <w:t xml:space="preserve"> per cent superannuation and other benefits</w:t>
      </w:r>
      <w:r w:rsidRPr="00E46CE3">
        <w:t>, as at 30 June 2021.</w:t>
      </w:r>
    </w:p>
    <w:p w14:paraId="26503893" w14:textId="58ABBDEF" w:rsidR="00783058" w:rsidRPr="00E46CE3" w:rsidRDefault="00783058" w:rsidP="00776FF9">
      <w:pPr>
        <w:pStyle w:val="ListParagraph"/>
        <w:numPr>
          <w:ilvl w:val="0"/>
          <w:numId w:val="20"/>
        </w:numPr>
      </w:pPr>
      <w:r w:rsidRPr="00E46CE3">
        <w:t xml:space="preserve">From 1 July 2021, the employer will have discretion to pass on </w:t>
      </w:r>
      <w:r w:rsidRPr="00E46CE3">
        <w:rPr>
          <w:i/>
          <w:iCs/>
        </w:rPr>
        <w:t xml:space="preserve">up to </w:t>
      </w:r>
      <w:r w:rsidRPr="00E46CE3">
        <w:t>the value of the guideline rate to the salary component (1.5 per cent 2021-22).</w:t>
      </w:r>
    </w:p>
    <w:p w14:paraId="589EBA36" w14:textId="2AAB164E" w:rsidR="00456BBF" w:rsidRPr="00E46CE3" w:rsidRDefault="00456BBF" w:rsidP="00456BBF">
      <w:pPr>
        <w:pStyle w:val="ListParagraph"/>
        <w:numPr>
          <w:ilvl w:val="0"/>
          <w:numId w:val="20"/>
        </w:numPr>
      </w:pPr>
      <w:r w:rsidRPr="00E46CE3">
        <w:t xml:space="preserve">From 1 July 2021, the employer will need to </w:t>
      </w:r>
      <w:r w:rsidR="009C03E9" w:rsidRPr="00E46CE3">
        <w:t xml:space="preserve">pass on </w:t>
      </w:r>
      <w:r w:rsidRPr="00E46CE3">
        <w:t>the following adjustments</w:t>
      </w:r>
      <w:r w:rsidR="009C03E9" w:rsidRPr="00E46CE3">
        <w:t xml:space="preserve"> in full</w:t>
      </w:r>
      <w:r w:rsidRPr="00E46CE3">
        <w:t>:</w:t>
      </w:r>
    </w:p>
    <w:p w14:paraId="162DF424" w14:textId="48D8E86A" w:rsidR="0085746A" w:rsidRPr="00E46CE3" w:rsidRDefault="005E4CB4" w:rsidP="00456BBF">
      <w:pPr>
        <w:pStyle w:val="ListParagraph"/>
        <w:numPr>
          <w:ilvl w:val="1"/>
          <w:numId w:val="20"/>
        </w:numPr>
      </w:pPr>
      <w:bookmarkStart w:id="8" w:name="_Hlk76563965"/>
      <w:bookmarkStart w:id="9" w:name="_Hlk76561997"/>
      <w:r w:rsidRPr="00E46CE3">
        <w:t>The legislated</w:t>
      </w:r>
      <w:r w:rsidR="00456BBF" w:rsidRPr="00E46CE3">
        <w:t xml:space="preserve"> increase to the superannuation guarantee rate</w:t>
      </w:r>
      <w:r w:rsidR="004224AB" w:rsidRPr="00E46CE3">
        <w:t xml:space="preserve"> (10 per cent for </w:t>
      </w:r>
      <w:r w:rsidR="00783058" w:rsidRPr="00E46CE3">
        <w:t>20</w:t>
      </w:r>
      <w:r w:rsidR="004224AB" w:rsidRPr="00E46CE3">
        <w:t>21-22)</w:t>
      </w:r>
      <w:r w:rsidR="00F95974" w:rsidRPr="00E46CE3">
        <w:t xml:space="preserve"> is then </w:t>
      </w:r>
      <w:r w:rsidR="00D250B9" w:rsidRPr="00E46CE3">
        <w:t>applied</w:t>
      </w:r>
      <w:r w:rsidR="004224AB" w:rsidRPr="00E46CE3">
        <w:t>.</w:t>
      </w:r>
      <w:bookmarkEnd w:id="8"/>
    </w:p>
    <w:bookmarkEnd w:id="9"/>
    <w:p w14:paraId="4113E7CE" w14:textId="764E2CFC" w:rsidR="009C03E9" w:rsidRPr="00E46CE3" w:rsidRDefault="009C03E9" w:rsidP="00196AA2">
      <w:pPr>
        <w:rPr>
          <w:b/>
        </w:rPr>
      </w:pPr>
      <w:r w:rsidRPr="00E46CE3">
        <w:rPr>
          <w:b/>
          <w:bCs/>
        </w:rPr>
        <w:t>Executive C</w:t>
      </w:r>
      <w:r w:rsidR="00686210" w:rsidRPr="00E46CE3">
        <w:rPr>
          <w:b/>
          <w:bCs/>
        </w:rPr>
        <w:t xml:space="preserve">: </w:t>
      </w:r>
      <w:r w:rsidRPr="00E46CE3">
        <w:rPr>
          <w:b/>
          <w:bCs/>
        </w:rPr>
        <w:t>remuneration expressed as TRP</w:t>
      </w:r>
      <w:r w:rsidR="00D250B9" w:rsidRPr="00E46CE3">
        <w:rPr>
          <w:b/>
          <w:bCs/>
        </w:rPr>
        <w:t xml:space="preserve">, with a </w:t>
      </w:r>
      <w:r w:rsidR="00812C9F" w:rsidRPr="00E46CE3">
        <w:rPr>
          <w:b/>
          <w:bCs/>
        </w:rPr>
        <w:t>salary component</w:t>
      </w:r>
      <w:r w:rsidRPr="00E46CE3">
        <w:rPr>
          <w:b/>
          <w:bCs/>
        </w:rPr>
        <w:t xml:space="preserve"> </w:t>
      </w:r>
      <w:r w:rsidR="00D250B9" w:rsidRPr="00E46CE3">
        <w:rPr>
          <w:b/>
          <w:bCs/>
        </w:rPr>
        <w:t>over the</w:t>
      </w:r>
      <w:r w:rsidRPr="00E46CE3">
        <w:rPr>
          <w:b/>
          <w:bCs/>
        </w:rPr>
        <w:t xml:space="preserve"> MSCB</w:t>
      </w:r>
    </w:p>
    <w:p w14:paraId="4C97B136" w14:textId="796F0F82" w:rsidR="00686210" w:rsidRPr="00E46CE3" w:rsidRDefault="00686210" w:rsidP="00686210">
      <w:pPr>
        <w:pStyle w:val="ListParagraph"/>
        <w:numPr>
          <w:ilvl w:val="0"/>
          <w:numId w:val="20"/>
        </w:numPr>
      </w:pPr>
      <w:r w:rsidRPr="00E46CE3">
        <w:t xml:space="preserve">An executive </w:t>
      </w:r>
      <w:r w:rsidR="00783058" w:rsidRPr="00E46CE3">
        <w:t xml:space="preserve">is classified at SES-3 level and </w:t>
      </w:r>
      <w:r w:rsidRPr="00E46CE3">
        <w:t>has a TRP of $441,000 inclusive of 9.5 per cent superannuation and other benefits</w:t>
      </w:r>
      <w:r w:rsidR="00544C27" w:rsidRPr="00E46CE3">
        <w:t>,</w:t>
      </w:r>
      <w:r w:rsidRPr="00E46CE3">
        <w:t xml:space="preserve"> as at 30 June 2021.</w:t>
      </w:r>
    </w:p>
    <w:p w14:paraId="5BFBACCF" w14:textId="77777777" w:rsidR="00783058" w:rsidRPr="00E46CE3" w:rsidRDefault="00783058" w:rsidP="00783058">
      <w:pPr>
        <w:pStyle w:val="ListParagraph"/>
        <w:numPr>
          <w:ilvl w:val="0"/>
          <w:numId w:val="20"/>
        </w:numPr>
      </w:pPr>
      <w:r w:rsidRPr="00E46CE3">
        <w:lastRenderedPageBreak/>
        <w:t xml:space="preserve">From 1 July 2021, the employer will have discretion to pass on </w:t>
      </w:r>
      <w:r w:rsidRPr="00E46CE3">
        <w:rPr>
          <w:i/>
          <w:iCs/>
        </w:rPr>
        <w:t xml:space="preserve">up to </w:t>
      </w:r>
      <w:r w:rsidRPr="00E46CE3">
        <w:t>the value of the guideline rate to the salary component (1.5 per cent 2021-22).</w:t>
      </w:r>
    </w:p>
    <w:p w14:paraId="61216C92" w14:textId="04E00026" w:rsidR="00783058" w:rsidRPr="00E46CE3" w:rsidRDefault="00783058" w:rsidP="00783058">
      <w:pPr>
        <w:pStyle w:val="ListParagraph"/>
        <w:numPr>
          <w:ilvl w:val="0"/>
          <w:numId w:val="20"/>
        </w:numPr>
      </w:pPr>
      <w:bookmarkStart w:id="10" w:name="_Hlk86406705"/>
      <w:bookmarkStart w:id="11" w:name="_Hlk86406509"/>
      <w:r w:rsidRPr="00E46CE3">
        <w:t xml:space="preserve">From 1 July 2021, the employer will need to pass on the following </w:t>
      </w:r>
      <w:r w:rsidR="00E15DF9" w:rsidRPr="00E46CE3">
        <w:t xml:space="preserve">adjustment </w:t>
      </w:r>
      <w:r w:rsidR="007D3D66" w:rsidRPr="00E46CE3">
        <w:t xml:space="preserve">to superannuation payable up to the </w:t>
      </w:r>
      <w:r w:rsidR="00E15DF9" w:rsidRPr="00E46CE3">
        <w:t>MSCB</w:t>
      </w:r>
      <w:r w:rsidRPr="00E46CE3">
        <w:t>:</w:t>
      </w:r>
    </w:p>
    <w:p w14:paraId="3F0D0339" w14:textId="7661E72A" w:rsidR="007D3D66" w:rsidRPr="00E46CE3" w:rsidRDefault="007D3D66" w:rsidP="00E15DF9">
      <w:pPr>
        <w:pStyle w:val="ListParagraph"/>
        <w:numPr>
          <w:ilvl w:val="1"/>
          <w:numId w:val="20"/>
        </w:numPr>
      </w:pPr>
      <w:bookmarkStart w:id="12" w:name="_Hlk85627155"/>
      <w:r w:rsidRPr="00E46CE3">
        <w:t xml:space="preserve">For </w:t>
      </w:r>
      <w:r w:rsidR="00E15DF9" w:rsidRPr="00E46CE3">
        <w:t xml:space="preserve">executives on a </w:t>
      </w:r>
      <w:r w:rsidRPr="00E46CE3">
        <w:t>TRP</w:t>
      </w:r>
      <w:r w:rsidR="00E15DF9" w:rsidRPr="00E46CE3">
        <w:t xml:space="preserve"> greater than $259,248 ($235,680 + 10% superannuation guarantee)</w:t>
      </w:r>
      <w:r w:rsidRPr="00E46CE3">
        <w:t xml:space="preserve">, employer </w:t>
      </w:r>
      <w:r w:rsidR="00256D27" w:rsidRPr="00E46CE3">
        <w:t xml:space="preserve">contributions to </w:t>
      </w:r>
      <w:r w:rsidRPr="00E46CE3">
        <w:t>superannuation accumulation scheme</w:t>
      </w:r>
      <w:r w:rsidR="00256D27" w:rsidRPr="00E46CE3">
        <w:t xml:space="preserve">s </w:t>
      </w:r>
      <w:r w:rsidRPr="00E46CE3">
        <w:t>should be indexed by</w:t>
      </w:r>
      <w:r w:rsidR="00E15DF9" w:rsidRPr="00E46CE3">
        <w:t xml:space="preserve"> $1,874</w:t>
      </w:r>
      <w:bookmarkEnd w:id="10"/>
      <w:r w:rsidRPr="00E46CE3">
        <w:t>.</w:t>
      </w:r>
    </w:p>
    <w:p w14:paraId="170F4E36" w14:textId="7F187F3B" w:rsidR="00F95974" w:rsidRPr="00E46CE3" w:rsidRDefault="0085746A" w:rsidP="0085746A">
      <w:bookmarkStart w:id="13" w:name="_Hlk86406854"/>
      <w:bookmarkEnd w:id="11"/>
      <w:bookmarkEnd w:id="12"/>
      <w:r w:rsidRPr="00E46CE3">
        <w:rPr>
          <w:b/>
          <w:bCs/>
        </w:rPr>
        <w:t xml:space="preserve">Executive </w:t>
      </w:r>
      <w:r w:rsidR="00F95974" w:rsidRPr="00E46CE3">
        <w:rPr>
          <w:b/>
          <w:bCs/>
        </w:rPr>
        <w:t>D:</w:t>
      </w:r>
      <w:r w:rsidRPr="00E46CE3">
        <w:rPr>
          <w:b/>
          <w:bCs/>
        </w:rPr>
        <w:t xml:space="preserve"> remuneration expressed as salary plus superannuation</w:t>
      </w:r>
      <w:r w:rsidR="00F95974" w:rsidRPr="00E46CE3">
        <w:rPr>
          <w:b/>
          <w:bCs/>
        </w:rPr>
        <w:t xml:space="preserve">, with a </w:t>
      </w:r>
      <w:r w:rsidR="00223904" w:rsidRPr="00E46CE3">
        <w:rPr>
          <w:b/>
          <w:bCs/>
        </w:rPr>
        <w:t xml:space="preserve">salary component </w:t>
      </w:r>
      <w:r w:rsidR="00F95974" w:rsidRPr="00E46CE3">
        <w:rPr>
          <w:b/>
          <w:bCs/>
        </w:rPr>
        <w:t>over</w:t>
      </w:r>
      <w:r w:rsidRPr="00E46CE3">
        <w:rPr>
          <w:b/>
          <w:bCs/>
        </w:rPr>
        <w:t xml:space="preserve"> the MSCB</w:t>
      </w:r>
    </w:p>
    <w:p w14:paraId="0F7AACD6" w14:textId="40F5A2EB" w:rsidR="00F95974" w:rsidRPr="00E46CE3" w:rsidRDefault="00F95974" w:rsidP="00F95974">
      <w:pPr>
        <w:pStyle w:val="ListParagraph"/>
        <w:numPr>
          <w:ilvl w:val="0"/>
          <w:numId w:val="20"/>
        </w:numPr>
      </w:pPr>
      <w:r w:rsidRPr="00E46CE3">
        <w:t xml:space="preserve">An executive </w:t>
      </w:r>
      <w:r w:rsidR="005F59C2" w:rsidRPr="00E46CE3">
        <w:t>is</w:t>
      </w:r>
      <w:r w:rsidRPr="00E46CE3">
        <w:t xml:space="preserve"> </w:t>
      </w:r>
      <w:r w:rsidR="005F59C2" w:rsidRPr="00E46CE3">
        <w:t xml:space="preserve">classified at SES-2 level and has a </w:t>
      </w:r>
      <w:r w:rsidRPr="00E46CE3">
        <w:t>salary of $44</w:t>
      </w:r>
      <w:r w:rsidR="004224AB" w:rsidRPr="00E46CE3">
        <w:t>1</w:t>
      </w:r>
      <w:r w:rsidRPr="00E46CE3">
        <w:t xml:space="preserve">,000 </w:t>
      </w:r>
      <w:r w:rsidR="00223904" w:rsidRPr="00E46CE3">
        <w:t>ex</w:t>
      </w:r>
      <w:r w:rsidRPr="00E46CE3">
        <w:t>clusive of 9.5</w:t>
      </w:r>
      <w:r w:rsidR="007606A5" w:rsidRPr="00E46CE3">
        <w:t> </w:t>
      </w:r>
      <w:r w:rsidRPr="00E46CE3">
        <w:t>per cent superannuation and other benefits as at 30 June 2021.</w:t>
      </w:r>
    </w:p>
    <w:p w14:paraId="576C31C7" w14:textId="771E4B08" w:rsidR="00783058" w:rsidRPr="00E46CE3" w:rsidRDefault="00812C9F" w:rsidP="00776FF9">
      <w:pPr>
        <w:pStyle w:val="ListParagraph"/>
        <w:numPr>
          <w:ilvl w:val="0"/>
          <w:numId w:val="20"/>
        </w:numPr>
      </w:pPr>
      <w:r w:rsidRPr="00E46CE3">
        <w:t xml:space="preserve">Given this executive is paid above the maximum of the SES-2 remuneration band, it must first seek the Tribunal’s advice on payment above the bands. </w:t>
      </w:r>
      <w:r w:rsidR="00783058" w:rsidRPr="00E46CE3">
        <w:t>Further information is provided below.</w:t>
      </w:r>
    </w:p>
    <w:p w14:paraId="6E6F5AA7" w14:textId="77777777" w:rsidR="00812C9F" w:rsidRPr="00E46CE3" w:rsidRDefault="00812C9F" w:rsidP="00812C9F">
      <w:pPr>
        <w:pStyle w:val="ListParagraph"/>
        <w:numPr>
          <w:ilvl w:val="0"/>
          <w:numId w:val="20"/>
        </w:numPr>
      </w:pPr>
      <w:r w:rsidRPr="00E46CE3">
        <w:t>From 1 July 2021, the employer will need to pass on the following adjustment to superannuation payable up to the MSCB:</w:t>
      </w:r>
    </w:p>
    <w:p w14:paraId="21C386B9" w14:textId="4C8D0986" w:rsidR="00505682" w:rsidRPr="00E46CE3" w:rsidRDefault="00812C9F" w:rsidP="00812C9F">
      <w:pPr>
        <w:pStyle w:val="ListParagraph"/>
        <w:numPr>
          <w:ilvl w:val="1"/>
          <w:numId w:val="20"/>
        </w:numPr>
      </w:pPr>
      <w:r w:rsidRPr="00E46CE3">
        <w:t>For executives on a TRP greater than $259,248 ($235,680 + 10% superannuation guarantee), employer</w:t>
      </w:r>
      <w:r w:rsidR="008C4325" w:rsidRPr="00E46CE3">
        <w:t xml:space="preserve"> </w:t>
      </w:r>
      <w:r w:rsidRPr="00E46CE3">
        <w:t>contributions to superannuation accumulation schemes should be indexed by $1,874.</w:t>
      </w:r>
    </w:p>
    <w:p w14:paraId="59B34008" w14:textId="3DFD84C4" w:rsidR="00DA7ED7" w:rsidRPr="00E46CE3" w:rsidRDefault="00DA7ED7" w:rsidP="00812C9F">
      <w:pPr>
        <w:pStyle w:val="ListParagraph"/>
        <w:numPr>
          <w:ilvl w:val="1"/>
          <w:numId w:val="20"/>
        </w:numPr>
      </w:pPr>
      <w:r w:rsidRPr="00E46CE3">
        <w:t>Further information on the Tribunal’s policy position on this adjustment is provided below.</w:t>
      </w:r>
    </w:p>
    <w:bookmarkEnd w:id="13"/>
    <w:p w14:paraId="18075CE4" w14:textId="77777777" w:rsidR="0023209C" w:rsidRPr="00E46CE3" w:rsidRDefault="0023209C" w:rsidP="004874CF">
      <w:pPr>
        <w:rPr>
          <w:b/>
          <w:bCs/>
        </w:rPr>
      </w:pPr>
    </w:p>
    <w:p w14:paraId="23F63D70" w14:textId="74666A42" w:rsidR="00505682" w:rsidRPr="00E46CE3" w:rsidRDefault="00505682" w:rsidP="004874CF">
      <w:pPr>
        <w:rPr>
          <w:b/>
          <w:bCs/>
        </w:rPr>
      </w:pPr>
      <w:r w:rsidRPr="00E46CE3">
        <w:rPr>
          <w:b/>
          <w:bCs/>
        </w:rPr>
        <w:t>Payment Above the Band</w:t>
      </w:r>
    </w:p>
    <w:p w14:paraId="1B0CBC14" w14:textId="61D1868D" w:rsidR="005F59C2" w:rsidRPr="00E46CE3" w:rsidRDefault="00505682" w:rsidP="004874CF">
      <w:r w:rsidRPr="00E46CE3">
        <w:t xml:space="preserve">Please note, the Tribunal has </w:t>
      </w:r>
      <w:r w:rsidR="00A2676D" w:rsidRPr="00E46CE3">
        <w:t xml:space="preserve">provided a policy statement on </w:t>
      </w:r>
      <w:r w:rsidRPr="00E46CE3">
        <w:t xml:space="preserve">its </w:t>
      </w:r>
      <w:hyperlink r:id="rId19" w:history="1">
        <w:r w:rsidR="00A2676D" w:rsidRPr="00E46CE3">
          <w:rPr>
            <w:rStyle w:val="Hyperlink"/>
          </w:rPr>
          <w:t>website</w:t>
        </w:r>
      </w:hyperlink>
      <w:r w:rsidR="00A2676D" w:rsidRPr="00E46CE3">
        <w:t xml:space="preserve">, </w:t>
      </w:r>
      <w:r w:rsidRPr="00E46CE3">
        <w:t xml:space="preserve">clarifying that </w:t>
      </w:r>
      <w:r w:rsidR="004874CF" w:rsidRPr="00E46CE3">
        <w:t>employer</w:t>
      </w:r>
      <w:r w:rsidRPr="00E46CE3">
        <w:t>s</w:t>
      </w:r>
      <w:r w:rsidR="004874CF" w:rsidRPr="00E46CE3">
        <w:t xml:space="preserve"> do not need to seek the Tribunal’s advice </w:t>
      </w:r>
      <w:r w:rsidR="005F59C2" w:rsidRPr="00E46CE3">
        <w:t>if</w:t>
      </w:r>
      <w:r w:rsidRPr="00E46CE3">
        <w:t>,</w:t>
      </w:r>
      <w:r w:rsidR="005F59C2" w:rsidRPr="00E46CE3">
        <w:t xml:space="preserve"> as a result of complying with statutory superannuation obligations, </w:t>
      </w:r>
      <w:r w:rsidR="007606A5" w:rsidRPr="00E46CE3">
        <w:t>an</w:t>
      </w:r>
      <w:r w:rsidR="005F59C2" w:rsidRPr="00E46CE3">
        <w:t xml:space="preserve"> executive w</w:t>
      </w:r>
      <w:r w:rsidR="00F7506A" w:rsidRPr="00E46CE3">
        <w:t>ould</w:t>
      </w:r>
      <w:r w:rsidR="005F59C2" w:rsidRPr="00E46CE3">
        <w:t xml:space="preserve"> be paid above their relevant band.</w:t>
      </w:r>
      <w:r w:rsidR="00F7506A" w:rsidRPr="00E46CE3">
        <w:t xml:space="preserve"> This would be the case </w:t>
      </w:r>
      <w:r w:rsidR="00343B0F" w:rsidRPr="00E46CE3">
        <w:t xml:space="preserve">for the example of Executive D, outlined </w:t>
      </w:r>
      <w:r w:rsidR="00F7506A" w:rsidRPr="00E46CE3">
        <w:t>above.</w:t>
      </w:r>
    </w:p>
    <w:p w14:paraId="664BB797" w14:textId="2432F048" w:rsidR="00505682" w:rsidRPr="00E46CE3" w:rsidRDefault="00F7506A" w:rsidP="0085746A">
      <w:r w:rsidRPr="00E46CE3">
        <w:t>However, the</w:t>
      </w:r>
      <w:r w:rsidR="005F59C2" w:rsidRPr="00E46CE3">
        <w:t xml:space="preserve"> Tribunal’s advice </w:t>
      </w:r>
      <w:r w:rsidR="005F59C2" w:rsidRPr="00E46CE3">
        <w:rPr>
          <w:u w:val="single"/>
        </w:rPr>
        <w:t>must</w:t>
      </w:r>
      <w:r w:rsidR="005F59C2" w:rsidRPr="00E46CE3">
        <w:t xml:space="preserve"> be sought prior to applying the </w:t>
      </w:r>
      <w:r w:rsidR="00783058" w:rsidRPr="00E46CE3">
        <w:t xml:space="preserve">guideline rate to an executive’s salary, </w:t>
      </w:r>
      <w:r w:rsidR="005F59C2" w:rsidRPr="00E46CE3">
        <w:t>if</w:t>
      </w:r>
      <w:r w:rsidR="007606A5" w:rsidRPr="00E46CE3">
        <w:t xml:space="preserve"> as a result of applying the adjustment,</w:t>
      </w:r>
      <w:r w:rsidR="005F59C2" w:rsidRPr="00E46CE3">
        <w:t xml:space="preserve"> the executive will be/continue to be paid above their relevant band. </w:t>
      </w:r>
    </w:p>
    <w:p w14:paraId="5D50DAE9" w14:textId="2D2B042B" w:rsidR="0085746A" w:rsidRPr="00492B22" w:rsidRDefault="005F59C2" w:rsidP="0085746A">
      <w:r w:rsidRPr="00E46CE3">
        <w:t xml:space="preserve">Further information on how to request the Tribunal’s advice is available the Tribunal’s </w:t>
      </w:r>
      <w:hyperlink r:id="rId20" w:history="1">
        <w:r w:rsidRPr="00E46CE3">
          <w:rPr>
            <w:rStyle w:val="Hyperlink"/>
          </w:rPr>
          <w:t>website</w:t>
        </w:r>
      </w:hyperlink>
      <w:r w:rsidRPr="00E46CE3">
        <w:t>.</w:t>
      </w:r>
    </w:p>
    <w:bookmarkEnd w:id="7"/>
    <w:p w14:paraId="5AF12A9A" w14:textId="3E8F57B1" w:rsidR="0028175A" w:rsidRPr="0024238C" w:rsidRDefault="0028175A" w:rsidP="0085746A"/>
    <w:sectPr w:rsidR="0028175A" w:rsidRPr="0024238C" w:rsidSect="000F2FFF">
      <w:headerReference w:type="even" r:id="rId21"/>
      <w:headerReference w:type="default" r:id="rId22"/>
      <w:footerReference w:type="even" r:id="rId23"/>
      <w:footerReference w:type="default" r:id="rId24"/>
      <w:footerReference w:type="first" r:id="rId25"/>
      <w:pgSz w:w="11906" w:h="16838" w:code="9"/>
      <w:pgMar w:top="1701" w:right="1304" w:bottom="1134" w:left="1304"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008F6" w14:textId="77777777" w:rsidR="00D852C9" w:rsidRDefault="00D852C9" w:rsidP="0034591A">
      <w:r>
        <w:separator/>
      </w:r>
    </w:p>
  </w:endnote>
  <w:endnote w:type="continuationSeparator" w:id="0">
    <w:p w14:paraId="58F88C30" w14:textId="77777777" w:rsidR="00D852C9" w:rsidRDefault="00D852C9" w:rsidP="0034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A7217" w14:textId="5DABA3B8" w:rsidR="00A13EC5" w:rsidRDefault="0003747D" w:rsidP="0034591A">
    <w:pPr>
      <w:pStyle w:val="Footer"/>
    </w:pPr>
    <w:r>
      <w:rPr>
        <w:noProof/>
      </w:rPr>
      <mc:AlternateContent>
        <mc:Choice Requires="wps">
          <w:drawing>
            <wp:anchor distT="0" distB="0" distL="114300" distR="114300" simplePos="0" relativeHeight="251657728" behindDoc="0" locked="0" layoutInCell="0" allowOverlap="1" wp14:anchorId="4C43D640" wp14:editId="1DAD4B15">
              <wp:simplePos x="0" y="0"/>
              <wp:positionH relativeFrom="page">
                <wp:posOffset>0</wp:posOffset>
              </wp:positionH>
              <wp:positionV relativeFrom="page">
                <wp:posOffset>10234930</wp:posOffset>
              </wp:positionV>
              <wp:extent cx="7560310" cy="266700"/>
              <wp:effectExtent l="0" t="0" r="0" b="0"/>
              <wp:wrapNone/>
              <wp:docPr id="5" name="MSIPCM0bb54406a56216a88c212f6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105FF" w14:textId="5F840CCD" w:rsidR="0003747D" w:rsidRPr="0003747D" w:rsidRDefault="0003747D" w:rsidP="00B461E8">
                          <w:pPr>
                            <w:spacing w:after="0"/>
                          </w:pPr>
                          <w:r w:rsidRPr="0003747D">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C43D640" id="_x0000_t202" coordsize="21600,21600" o:spt="202" path="m,l,21600r21600,l21600,xe">
              <v:stroke joinstyle="miter"/>
              <v:path gradientshapeok="t" o:connecttype="rect"/>
            </v:shapetype>
            <v:shape id="MSIPCM0bb54406a56216a88c212f6e"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HSrXFG0AgAASAUA&#10;AA4AAAAAAAAAAAAAAAAALgIAAGRycy9lMm9Eb2MueG1sUEsBAi0AFAAGAAgAAAAhAGARxibeAAAA&#10;CwEAAA8AAAAAAAAAAAAAAAAADgUAAGRycy9kb3ducmV2LnhtbFBLBQYAAAAABAAEAPMAAAAZBgAA&#10;AAA=&#10;" o:allowincell="f" filled="f" stroked="f" strokeweight=".5pt">
              <v:textbox inset="20pt,0,,0">
                <w:txbxContent>
                  <w:p w14:paraId="7C3105FF" w14:textId="5F840CCD" w:rsidR="0003747D" w:rsidRPr="0003747D" w:rsidRDefault="0003747D" w:rsidP="00B461E8">
                    <w:pPr>
                      <w:spacing w:after="0"/>
                    </w:pPr>
                    <w:r w:rsidRPr="0003747D">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F8C2C" w14:textId="7B7588B9" w:rsidR="001971C9" w:rsidRDefault="00A13EC5" w:rsidP="0034591A">
    <w:pPr>
      <w:pStyle w:val="Footer"/>
    </w:pPr>
    <w:r w:rsidRPr="0099618E">
      <w:fldChar w:fldCharType="begin"/>
    </w:r>
    <w:r w:rsidRPr="0099618E">
      <w:instrText xml:space="preserve"> PAGE </w:instrText>
    </w:r>
    <w:r w:rsidRPr="0099618E">
      <w:fldChar w:fldCharType="separate"/>
    </w:r>
    <w:r>
      <w:rPr>
        <w:noProof/>
      </w:rPr>
      <w:t>2</w:t>
    </w:r>
    <w:r w:rsidRPr="0099618E">
      <w:fldChar w:fldCharType="end"/>
    </w:r>
    <w:r w:rsidRPr="0099618E">
      <w:tab/>
      <w:t>Document title</w:t>
    </w:r>
  </w:p>
  <w:p w14:paraId="158099A8" w14:textId="77777777" w:rsidR="004E3C93" w:rsidRDefault="004E3C93"/>
  <w:p w14:paraId="03B61E0D" w14:textId="77777777" w:rsidR="004E3C93" w:rsidRDefault="004E3C93"/>
  <w:p w14:paraId="0C443C59" w14:textId="77777777" w:rsidR="004E3C93" w:rsidRDefault="004E3C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B1B26" w14:textId="5138CBAD" w:rsidR="004E3C93" w:rsidRDefault="0003747D" w:rsidP="00B01DC4">
    <w:pPr>
      <w:pStyle w:val="Footer"/>
    </w:pPr>
    <w:r>
      <w:rPr>
        <w:noProof/>
      </w:rPr>
      <mc:AlternateContent>
        <mc:Choice Requires="wps">
          <w:drawing>
            <wp:anchor distT="0" distB="0" distL="114300" distR="114300" simplePos="0" relativeHeight="251658752" behindDoc="0" locked="0" layoutInCell="0" allowOverlap="1" wp14:anchorId="72ABADA9" wp14:editId="5266C893">
              <wp:simplePos x="0" y="0"/>
              <wp:positionH relativeFrom="page">
                <wp:posOffset>0</wp:posOffset>
              </wp:positionH>
              <wp:positionV relativeFrom="page">
                <wp:posOffset>10234930</wp:posOffset>
              </wp:positionV>
              <wp:extent cx="7560310" cy="266700"/>
              <wp:effectExtent l="0" t="0" r="0" b="0"/>
              <wp:wrapNone/>
              <wp:docPr id="6" name="MSIPCMe0684875a622808a1ce44c81"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B21B7D" w14:textId="0E12177A" w:rsidR="0003747D" w:rsidRPr="0003747D" w:rsidRDefault="0003747D" w:rsidP="00B461E8">
                          <w:pPr>
                            <w:spacing w:after="0"/>
                          </w:pPr>
                          <w:r w:rsidRPr="0003747D">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ABADA9" id="_x0000_t202" coordsize="21600,21600" o:spt="202" path="m,l,21600r21600,l21600,xe">
              <v:stroke joinstyle="miter"/>
              <v:path gradientshapeok="t" o:connecttype="rect"/>
            </v:shapetype>
            <v:shape id="MSIPCMe0684875a622808a1ce44c81" o:spid="_x0000_s1027" type="#_x0000_t202" alt="{&quot;HashCode&quot;:-1267603503,&quot;Height&quot;:841.0,&quot;Width&quot;:595.0,&quot;Placement&quot;:&quot;Footer&quot;,&quot;Index&quot;:&quot;Primary&quot;,&quot;Section&quot;:2,&quot;Top&quot;:0.0,&quot;Left&quot;:0.0}" style="position:absolute;margin-left:0;margin-top:805.9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DhTiw5tQIAAE8F&#10;AAAOAAAAAAAAAAAAAAAAAC4CAABkcnMvZTJvRG9jLnhtbFBLAQItABQABgAIAAAAIQBgEcYm3gAA&#10;AAsBAAAPAAAAAAAAAAAAAAAAAA8FAABkcnMvZG93bnJldi54bWxQSwUGAAAAAAQABADzAAAAGgYA&#10;AAAA&#10;" o:allowincell="f" filled="f" stroked="f" strokeweight=".5pt">
              <v:textbox inset="20pt,0,,0">
                <w:txbxContent>
                  <w:p w14:paraId="13B21B7D" w14:textId="0E12177A" w:rsidR="0003747D" w:rsidRPr="0003747D" w:rsidRDefault="0003747D" w:rsidP="00B461E8">
                    <w:pPr>
                      <w:spacing w:after="0"/>
                    </w:pPr>
                    <w:r w:rsidRPr="0003747D">
                      <w:t>OFFICIAL</w:t>
                    </w:r>
                  </w:p>
                </w:txbxContent>
              </v:textbox>
              <w10:wrap anchorx="page" anchory="page"/>
            </v:shape>
          </w:pict>
        </mc:Fallback>
      </mc:AlternateContent>
    </w:r>
    <w:r w:rsidR="00EB3CD4">
      <w:t>Questions and Answers</w:t>
    </w:r>
    <w:r w:rsidR="00B461E8">
      <w:br/>
    </w:r>
    <w:r w:rsidR="00EB3CD4">
      <w:t>Changes to superannuation obligations</w:t>
    </w:r>
    <w:r w:rsidR="00B461E8">
      <w:t xml:space="preserve"> </w:t>
    </w:r>
    <w:r w:rsidR="005D109C">
      <w:t>20</w:t>
    </w:r>
    <w:r w:rsidR="00B461E8">
      <w:t>2</w:t>
    </w:r>
    <w:r w:rsidR="00EB4DC5">
      <w:t>1</w:t>
    </w:r>
    <w:r w:rsidR="00B461E8">
      <w:t>-2</w:t>
    </w:r>
    <w:r w:rsidR="00EB4DC5">
      <w:t>2</w:t>
    </w:r>
    <w:r w:rsidR="00A13EC5" w:rsidRPr="00A80D31">
      <w:tab/>
    </w:r>
    <w:r w:rsidR="00A13EC5" w:rsidRPr="00A80D31">
      <w:fldChar w:fldCharType="begin"/>
    </w:r>
    <w:r w:rsidR="00A13EC5" w:rsidRPr="00A80D31">
      <w:instrText xml:space="preserve"> PAGE </w:instrText>
    </w:r>
    <w:r w:rsidR="00A13EC5" w:rsidRPr="00A80D31">
      <w:fldChar w:fldCharType="separate"/>
    </w:r>
    <w:r w:rsidR="00A13EC5">
      <w:rPr>
        <w:noProof/>
      </w:rPr>
      <w:t>3</w:t>
    </w:r>
    <w:r w:rsidR="00A13EC5" w:rsidRPr="00A80D3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8F926" w14:textId="0803D046" w:rsidR="00977C63" w:rsidRPr="001A7E04" w:rsidRDefault="00AE4E93" w:rsidP="00345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B35D6" w14:textId="77777777" w:rsidR="00D852C9" w:rsidRDefault="00D852C9" w:rsidP="0034591A">
      <w:r>
        <w:separator/>
      </w:r>
    </w:p>
  </w:footnote>
  <w:footnote w:type="continuationSeparator" w:id="0">
    <w:p w14:paraId="732D9AF6" w14:textId="77777777" w:rsidR="00D852C9" w:rsidRDefault="00D852C9" w:rsidP="00345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C798E" w14:textId="720A70F5" w:rsidR="00EE397B" w:rsidRDefault="00A13EC5" w:rsidP="0034591A">
    <w:pPr>
      <w:pStyle w:val="Header"/>
    </w:pPr>
    <w:r>
      <w:rPr>
        <w:noProof/>
        <w:lang w:eastAsia="en-AU"/>
      </w:rPr>
      <w:drawing>
        <wp:anchor distT="0" distB="0" distL="114300" distR="114300" simplePos="0" relativeHeight="251656704" behindDoc="0" locked="1" layoutInCell="0" allowOverlap="1" wp14:anchorId="1B23870B" wp14:editId="3D007B07">
          <wp:simplePos x="0" y="0"/>
          <wp:positionH relativeFrom="page">
            <wp:posOffset>0</wp:posOffset>
          </wp:positionH>
          <wp:positionV relativeFrom="page">
            <wp:posOffset>360045</wp:posOffset>
          </wp:positionV>
          <wp:extent cx="7566840" cy="503256"/>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256"/>
                  </a:xfrm>
                  <a:prstGeom prst="rect">
                    <a:avLst/>
                  </a:prstGeom>
                </pic:spPr>
              </pic:pic>
            </a:graphicData>
          </a:graphic>
          <wp14:sizeRelH relativeFrom="margin">
            <wp14:pctWidth>0</wp14:pctWidth>
          </wp14:sizeRelH>
          <wp14:sizeRelV relativeFrom="margin">
            <wp14:pctHeight>0</wp14:pctHeight>
          </wp14:sizeRelV>
        </wp:anchor>
      </w:drawing>
    </w:r>
  </w:p>
  <w:p w14:paraId="1C7023D7" w14:textId="77777777" w:rsidR="001971C9" w:rsidRDefault="00AE4E93" w:rsidP="0034591A"/>
  <w:p w14:paraId="442003A0" w14:textId="77777777" w:rsidR="004E3C93" w:rsidRDefault="004E3C93"/>
  <w:p w14:paraId="29B45E1C" w14:textId="77777777" w:rsidR="004E3C93" w:rsidRDefault="004E3C93"/>
  <w:p w14:paraId="249942C1" w14:textId="77777777" w:rsidR="004E3C93" w:rsidRDefault="004E3C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3ABE2" w14:textId="4AEFB0B6" w:rsidR="00EE397B" w:rsidRDefault="00A13EC5" w:rsidP="0034591A">
    <w:pPr>
      <w:pStyle w:val="Header"/>
    </w:pPr>
    <w:r>
      <w:rPr>
        <w:noProof/>
        <w:lang w:eastAsia="en-AU"/>
      </w:rPr>
      <w:drawing>
        <wp:anchor distT="0" distB="0" distL="114300" distR="114300" simplePos="0" relativeHeight="251655680" behindDoc="0" locked="1" layoutInCell="0" allowOverlap="1" wp14:anchorId="567C80B3" wp14:editId="016245F9">
          <wp:simplePos x="0" y="0"/>
          <wp:positionH relativeFrom="page">
            <wp:posOffset>0</wp:posOffset>
          </wp:positionH>
          <wp:positionV relativeFrom="page">
            <wp:posOffset>360045</wp:posOffset>
          </wp:positionV>
          <wp:extent cx="7566840" cy="503640"/>
          <wp:effectExtent l="0" t="0" r="0" b="0"/>
          <wp:wrapNone/>
          <wp:docPr id="4" name="Picture 4"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640"/>
                  </a:xfrm>
                  <a:prstGeom prst="rect">
                    <a:avLst/>
                  </a:prstGeom>
                </pic:spPr>
              </pic:pic>
            </a:graphicData>
          </a:graphic>
          <wp14:sizeRelH relativeFrom="margin">
            <wp14:pctWidth>0</wp14:pctWidth>
          </wp14:sizeRelH>
          <wp14:sizeRelV relativeFrom="margin">
            <wp14:pctHeight>0</wp14:pctHeight>
          </wp14:sizeRelV>
        </wp:anchor>
      </w:drawing>
    </w:r>
  </w:p>
  <w:p w14:paraId="5C15E806" w14:textId="77777777" w:rsidR="001971C9" w:rsidRDefault="00AE4E93" w:rsidP="0034591A"/>
  <w:p w14:paraId="375B7D68" w14:textId="77777777" w:rsidR="004E3C93" w:rsidRDefault="004E3C93"/>
  <w:p w14:paraId="4C57D1AA" w14:textId="77777777" w:rsidR="004E3C93" w:rsidRDefault="004E3C93"/>
  <w:p w14:paraId="63A57755" w14:textId="77777777" w:rsidR="004E3C93" w:rsidRDefault="004E3C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4996"/>
    <w:multiLevelType w:val="hybridMultilevel"/>
    <w:tmpl w:val="ED5EC554"/>
    <w:lvl w:ilvl="0" w:tplc="D562B074">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2A3E9F"/>
    <w:multiLevelType w:val="hybridMultilevel"/>
    <w:tmpl w:val="7B4C70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6977A2"/>
    <w:multiLevelType w:val="hybridMultilevel"/>
    <w:tmpl w:val="095AFDA8"/>
    <w:lvl w:ilvl="0" w:tplc="F81A8620">
      <w:start w:val="2"/>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1012B"/>
    <w:multiLevelType w:val="hybridMultilevel"/>
    <w:tmpl w:val="D8EEBC62"/>
    <w:lvl w:ilvl="0" w:tplc="93F23016">
      <w:numFmt w:val="bullet"/>
      <w:lvlText w:val=""/>
      <w:lvlJc w:val="left"/>
      <w:pPr>
        <w:ind w:left="1390" w:hanging="360"/>
      </w:pPr>
      <w:rPr>
        <w:rFonts w:ascii="Symbol" w:eastAsia="Symbol" w:hAnsi="Symbol" w:cs="Symbol" w:hint="default"/>
        <w:w w:val="100"/>
        <w:sz w:val="24"/>
        <w:szCs w:val="24"/>
        <w:lang w:val="en-AU" w:eastAsia="en-US" w:bidi="ar-SA"/>
      </w:rPr>
    </w:lvl>
    <w:lvl w:ilvl="1" w:tplc="3A7028B6">
      <w:numFmt w:val="bullet"/>
      <w:lvlText w:val="•"/>
      <w:lvlJc w:val="left"/>
      <w:pPr>
        <w:ind w:left="2424" w:hanging="360"/>
      </w:pPr>
      <w:rPr>
        <w:rFonts w:hint="default"/>
        <w:lang w:val="en-AU" w:eastAsia="en-US" w:bidi="ar-SA"/>
      </w:rPr>
    </w:lvl>
    <w:lvl w:ilvl="2" w:tplc="32DEC690">
      <w:numFmt w:val="bullet"/>
      <w:lvlText w:val="•"/>
      <w:lvlJc w:val="left"/>
      <w:pPr>
        <w:ind w:left="3449" w:hanging="360"/>
      </w:pPr>
      <w:rPr>
        <w:rFonts w:hint="default"/>
        <w:lang w:val="en-AU" w:eastAsia="en-US" w:bidi="ar-SA"/>
      </w:rPr>
    </w:lvl>
    <w:lvl w:ilvl="3" w:tplc="00145D1A">
      <w:numFmt w:val="bullet"/>
      <w:lvlText w:val="•"/>
      <w:lvlJc w:val="left"/>
      <w:pPr>
        <w:ind w:left="4473" w:hanging="360"/>
      </w:pPr>
      <w:rPr>
        <w:rFonts w:hint="default"/>
        <w:lang w:val="en-AU" w:eastAsia="en-US" w:bidi="ar-SA"/>
      </w:rPr>
    </w:lvl>
    <w:lvl w:ilvl="4" w:tplc="2AA8F1BA">
      <w:numFmt w:val="bullet"/>
      <w:lvlText w:val="•"/>
      <w:lvlJc w:val="left"/>
      <w:pPr>
        <w:ind w:left="5498" w:hanging="360"/>
      </w:pPr>
      <w:rPr>
        <w:rFonts w:hint="default"/>
        <w:lang w:val="en-AU" w:eastAsia="en-US" w:bidi="ar-SA"/>
      </w:rPr>
    </w:lvl>
    <w:lvl w:ilvl="5" w:tplc="0B16CC56">
      <w:numFmt w:val="bullet"/>
      <w:lvlText w:val="•"/>
      <w:lvlJc w:val="left"/>
      <w:pPr>
        <w:ind w:left="6523" w:hanging="360"/>
      </w:pPr>
      <w:rPr>
        <w:rFonts w:hint="default"/>
        <w:lang w:val="en-AU" w:eastAsia="en-US" w:bidi="ar-SA"/>
      </w:rPr>
    </w:lvl>
    <w:lvl w:ilvl="6" w:tplc="A7E20A06">
      <w:numFmt w:val="bullet"/>
      <w:lvlText w:val="•"/>
      <w:lvlJc w:val="left"/>
      <w:pPr>
        <w:ind w:left="7547" w:hanging="360"/>
      </w:pPr>
      <w:rPr>
        <w:rFonts w:hint="default"/>
        <w:lang w:val="en-AU" w:eastAsia="en-US" w:bidi="ar-SA"/>
      </w:rPr>
    </w:lvl>
    <w:lvl w:ilvl="7" w:tplc="F6D8512E">
      <w:numFmt w:val="bullet"/>
      <w:lvlText w:val="•"/>
      <w:lvlJc w:val="left"/>
      <w:pPr>
        <w:ind w:left="8572" w:hanging="360"/>
      </w:pPr>
      <w:rPr>
        <w:rFonts w:hint="default"/>
        <w:lang w:val="en-AU" w:eastAsia="en-US" w:bidi="ar-SA"/>
      </w:rPr>
    </w:lvl>
    <w:lvl w:ilvl="8" w:tplc="B9F0BCFA">
      <w:numFmt w:val="bullet"/>
      <w:lvlText w:val="•"/>
      <w:lvlJc w:val="left"/>
      <w:pPr>
        <w:ind w:left="9597" w:hanging="360"/>
      </w:pPr>
      <w:rPr>
        <w:rFonts w:hint="default"/>
        <w:lang w:val="en-AU" w:eastAsia="en-US" w:bidi="ar-SA"/>
      </w:rPr>
    </w:lvl>
  </w:abstractNum>
  <w:abstractNum w:abstractNumId="4" w15:restartNumberingAfterBreak="0">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7C21B74"/>
    <w:multiLevelType w:val="hybridMultilevel"/>
    <w:tmpl w:val="DACC7A70"/>
    <w:lvl w:ilvl="0" w:tplc="83F619C4">
      <w:start w:val="1"/>
      <w:numFmt w:val="decimal"/>
      <w:lvlText w:val="%1."/>
      <w:lvlJc w:val="left"/>
      <w:pPr>
        <w:ind w:left="1330" w:hanging="360"/>
      </w:pPr>
      <w:rPr>
        <w:rFonts w:ascii="Calibri" w:eastAsia="Calibri" w:hAnsi="Calibri" w:cs="Calibri" w:hint="default"/>
        <w:b/>
        <w:bCs/>
        <w:spacing w:val="-1"/>
        <w:w w:val="100"/>
        <w:sz w:val="24"/>
        <w:szCs w:val="24"/>
        <w:lang w:val="en-AU" w:eastAsia="en-US" w:bidi="ar-SA"/>
      </w:rPr>
    </w:lvl>
    <w:lvl w:ilvl="1" w:tplc="FDE83612">
      <w:numFmt w:val="bullet"/>
      <w:lvlText w:val="•"/>
      <w:lvlJc w:val="left"/>
      <w:pPr>
        <w:ind w:left="2370" w:hanging="360"/>
      </w:pPr>
      <w:rPr>
        <w:rFonts w:hint="default"/>
        <w:lang w:val="en-AU" w:eastAsia="en-US" w:bidi="ar-SA"/>
      </w:rPr>
    </w:lvl>
    <w:lvl w:ilvl="2" w:tplc="C9E83C0C">
      <w:numFmt w:val="bullet"/>
      <w:lvlText w:val="•"/>
      <w:lvlJc w:val="left"/>
      <w:pPr>
        <w:ind w:left="3401" w:hanging="360"/>
      </w:pPr>
      <w:rPr>
        <w:rFonts w:hint="default"/>
        <w:lang w:val="en-AU" w:eastAsia="en-US" w:bidi="ar-SA"/>
      </w:rPr>
    </w:lvl>
    <w:lvl w:ilvl="3" w:tplc="15B07306">
      <w:numFmt w:val="bullet"/>
      <w:lvlText w:val="•"/>
      <w:lvlJc w:val="left"/>
      <w:pPr>
        <w:ind w:left="4431" w:hanging="360"/>
      </w:pPr>
      <w:rPr>
        <w:rFonts w:hint="default"/>
        <w:lang w:val="en-AU" w:eastAsia="en-US" w:bidi="ar-SA"/>
      </w:rPr>
    </w:lvl>
    <w:lvl w:ilvl="4" w:tplc="12661B40">
      <w:numFmt w:val="bullet"/>
      <w:lvlText w:val="•"/>
      <w:lvlJc w:val="left"/>
      <w:pPr>
        <w:ind w:left="5462" w:hanging="360"/>
      </w:pPr>
      <w:rPr>
        <w:rFonts w:hint="default"/>
        <w:lang w:val="en-AU" w:eastAsia="en-US" w:bidi="ar-SA"/>
      </w:rPr>
    </w:lvl>
    <w:lvl w:ilvl="5" w:tplc="D4323134">
      <w:numFmt w:val="bullet"/>
      <w:lvlText w:val="•"/>
      <w:lvlJc w:val="left"/>
      <w:pPr>
        <w:ind w:left="6493" w:hanging="360"/>
      </w:pPr>
      <w:rPr>
        <w:rFonts w:hint="default"/>
        <w:lang w:val="en-AU" w:eastAsia="en-US" w:bidi="ar-SA"/>
      </w:rPr>
    </w:lvl>
    <w:lvl w:ilvl="6" w:tplc="DF76430E">
      <w:numFmt w:val="bullet"/>
      <w:lvlText w:val="•"/>
      <w:lvlJc w:val="left"/>
      <w:pPr>
        <w:ind w:left="7523" w:hanging="360"/>
      </w:pPr>
      <w:rPr>
        <w:rFonts w:hint="default"/>
        <w:lang w:val="en-AU" w:eastAsia="en-US" w:bidi="ar-SA"/>
      </w:rPr>
    </w:lvl>
    <w:lvl w:ilvl="7" w:tplc="DED2A7A0">
      <w:numFmt w:val="bullet"/>
      <w:lvlText w:val="•"/>
      <w:lvlJc w:val="left"/>
      <w:pPr>
        <w:ind w:left="8554" w:hanging="360"/>
      </w:pPr>
      <w:rPr>
        <w:rFonts w:hint="default"/>
        <w:lang w:val="en-AU" w:eastAsia="en-US" w:bidi="ar-SA"/>
      </w:rPr>
    </w:lvl>
    <w:lvl w:ilvl="8" w:tplc="27F8C556">
      <w:numFmt w:val="bullet"/>
      <w:lvlText w:val="•"/>
      <w:lvlJc w:val="left"/>
      <w:pPr>
        <w:ind w:left="9585" w:hanging="360"/>
      </w:pPr>
      <w:rPr>
        <w:rFonts w:hint="default"/>
        <w:lang w:val="en-AU" w:eastAsia="en-US" w:bidi="ar-SA"/>
      </w:rPr>
    </w:lvl>
  </w:abstractNum>
  <w:abstractNum w:abstractNumId="6" w15:restartNumberingAfterBreak="0">
    <w:nsid w:val="230A73C3"/>
    <w:multiLevelType w:val="hybridMultilevel"/>
    <w:tmpl w:val="66BA69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C352DE"/>
    <w:multiLevelType w:val="hybridMultilevel"/>
    <w:tmpl w:val="50D2E10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B81805"/>
    <w:multiLevelType w:val="hybridMultilevel"/>
    <w:tmpl w:val="F582194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39E7E3A"/>
    <w:multiLevelType w:val="hybridMultilevel"/>
    <w:tmpl w:val="B3401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3722EF"/>
    <w:multiLevelType w:val="hybridMultilevel"/>
    <w:tmpl w:val="C2085B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0994CB2"/>
    <w:multiLevelType w:val="hybridMultilevel"/>
    <w:tmpl w:val="071E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8FA1EB2"/>
    <w:multiLevelType w:val="hybridMultilevel"/>
    <w:tmpl w:val="862A5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2"/>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
  </w:num>
  <w:num w:numId="17">
    <w:abstractNumId w:val="1"/>
  </w:num>
  <w:num w:numId="18">
    <w:abstractNumId w:val="3"/>
  </w:num>
  <w:num w:numId="19">
    <w:abstractNumId w:val="11"/>
  </w:num>
  <w:num w:numId="20">
    <w:abstractNumId w:val="9"/>
  </w:num>
  <w:num w:numId="21">
    <w:abstractNumId w:val="13"/>
  </w:num>
  <w:num w:numId="22">
    <w:abstractNumId w:val="7"/>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7D"/>
    <w:rsid w:val="000008AE"/>
    <w:rsid w:val="00002A62"/>
    <w:rsid w:val="00010D46"/>
    <w:rsid w:val="00015C53"/>
    <w:rsid w:val="00022789"/>
    <w:rsid w:val="00023613"/>
    <w:rsid w:val="00031E5A"/>
    <w:rsid w:val="000361B2"/>
    <w:rsid w:val="0003747D"/>
    <w:rsid w:val="00046CFF"/>
    <w:rsid w:val="000523F6"/>
    <w:rsid w:val="0006283A"/>
    <w:rsid w:val="000A1123"/>
    <w:rsid w:val="000D39DA"/>
    <w:rsid w:val="000D4B94"/>
    <w:rsid w:val="000F2FFF"/>
    <w:rsid w:val="0010533A"/>
    <w:rsid w:val="0013609F"/>
    <w:rsid w:val="00164669"/>
    <w:rsid w:val="00183BC7"/>
    <w:rsid w:val="0019164F"/>
    <w:rsid w:val="00196AA2"/>
    <w:rsid w:val="001A5CD4"/>
    <w:rsid w:val="001B222F"/>
    <w:rsid w:val="001D0605"/>
    <w:rsid w:val="001F59CD"/>
    <w:rsid w:val="00223904"/>
    <w:rsid w:val="0023209C"/>
    <w:rsid w:val="0024238C"/>
    <w:rsid w:val="00251029"/>
    <w:rsid w:val="00253D8E"/>
    <w:rsid w:val="00256713"/>
    <w:rsid w:val="00256D27"/>
    <w:rsid w:val="00271D8F"/>
    <w:rsid w:val="0027751F"/>
    <w:rsid w:val="0028175A"/>
    <w:rsid w:val="00281E0E"/>
    <w:rsid w:val="002951FA"/>
    <w:rsid w:val="002B1282"/>
    <w:rsid w:val="002B1AD6"/>
    <w:rsid w:val="002B739C"/>
    <w:rsid w:val="003074FE"/>
    <w:rsid w:val="00325FFD"/>
    <w:rsid w:val="00343AF1"/>
    <w:rsid w:val="00343B0F"/>
    <w:rsid w:val="0034591A"/>
    <w:rsid w:val="003663F6"/>
    <w:rsid w:val="00387E0A"/>
    <w:rsid w:val="003C405A"/>
    <w:rsid w:val="003D479A"/>
    <w:rsid w:val="003D5033"/>
    <w:rsid w:val="003F36BE"/>
    <w:rsid w:val="004224AB"/>
    <w:rsid w:val="00430B56"/>
    <w:rsid w:val="00443EC0"/>
    <w:rsid w:val="00451DF2"/>
    <w:rsid w:val="00455459"/>
    <w:rsid w:val="00456BBF"/>
    <w:rsid w:val="00456FB8"/>
    <w:rsid w:val="00457B63"/>
    <w:rsid w:val="00481F3A"/>
    <w:rsid w:val="004833B4"/>
    <w:rsid w:val="004874CF"/>
    <w:rsid w:val="00487573"/>
    <w:rsid w:val="00492B22"/>
    <w:rsid w:val="004B7696"/>
    <w:rsid w:val="004C5B0D"/>
    <w:rsid w:val="004D15B8"/>
    <w:rsid w:val="004D6C5F"/>
    <w:rsid w:val="004E3C93"/>
    <w:rsid w:val="004F1A22"/>
    <w:rsid w:val="004F1DB4"/>
    <w:rsid w:val="004F2224"/>
    <w:rsid w:val="004F3CF5"/>
    <w:rsid w:val="00505682"/>
    <w:rsid w:val="0052671E"/>
    <w:rsid w:val="00544C27"/>
    <w:rsid w:val="00564902"/>
    <w:rsid w:val="00576F92"/>
    <w:rsid w:val="00577D5D"/>
    <w:rsid w:val="005816D2"/>
    <w:rsid w:val="00586EC0"/>
    <w:rsid w:val="00587A57"/>
    <w:rsid w:val="00591D37"/>
    <w:rsid w:val="005A23B4"/>
    <w:rsid w:val="005C3EBD"/>
    <w:rsid w:val="005D109C"/>
    <w:rsid w:val="005E45E6"/>
    <w:rsid w:val="005E4CB4"/>
    <w:rsid w:val="005F3BE0"/>
    <w:rsid w:val="005F59C2"/>
    <w:rsid w:val="005F7447"/>
    <w:rsid w:val="005F7E78"/>
    <w:rsid w:val="0060237E"/>
    <w:rsid w:val="00626B98"/>
    <w:rsid w:val="00635618"/>
    <w:rsid w:val="0064544A"/>
    <w:rsid w:val="006737EA"/>
    <w:rsid w:val="00682A63"/>
    <w:rsid w:val="00686210"/>
    <w:rsid w:val="006A4194"/>
    <w:rsid w:val="006B32A3"/>
    <w:rsid w:val="006C3E29"/>
    <w:rsid w:val="006E059D"/>
    <w:rsid w:val="006E2A80"/>
    <w:rsid w:val="006F1A99"/>
    <w:rsid w:val="006F37BF"/>
    <w:rsid w:val="006F5FA9"/>
    <w:rsid w:val="0070468B"/>
    <w:rsid w:val="00730137"/>
    <w:rsid w:val="007606A5"/>
    <w:rsid w:val="00767F68"/>
    <w:rsid w:val="00776FF9"/>
    <w:rsid w:val="00777F9E"/>
    <w:rsid w:val="00783058"/>
    <w:rsid w:val="0079066C"/>
    <w:rsid w:val="007B1C3A"/>
    <w:rsid w:val="007B40A0"/>
    <w:rsid w:val="007D12E5"/>
    <w:rsid w:val="007D3D66"/>
    <w:rsid w:val="007F241A"/>
    <w:rsid w:val="008057C9"/>
    <w:rsid w:val="008105A6"/>
    <w:rsid w:val="00812C9F"/>
    <w:rsid w:val="00816BBA"/>
    <w:rsid w:val="008242B9"/>
    <w:rsid w:val="0085746A"/>
    <w:rsid w:val="00880D51"/>
    <w:rsid w:val="008906B3"/>
    <w:rsid w:val="008911BA"/>
    <w:rsid w:val="00895391"/>
    <w:rsid w:val="008B46C3"/>
    <w:rsid w:val="008C4325"/>
    <w:rsid w:val="008C485B"/>
    <w:rsid w:val="008E6668"/>
    <w:rsid w:val="008E73D4"/>
    <w:rsid w:val="008F622F"/>
    <w:rsid w:val="009372E7"/>
    <w:rsid w:val="0095568F"/>
    <w:rsid w:val="00957C38"/>
    <w:rsid w:val="009868C3"/>
    <w:rsid w:val="009A64D7"/>
    <w:rsid w:val="009C03E9"/>
    <w:rsid w:val="00A03C8E"/>
    <w:rsid w:val="00A13EC5"/>
    <w:rsid w:val="00A16FED"/>
    <w:rsid w:val="00A21654"/>
    <w:rsid w:val="00A2676D"/>
    <w:rsid w:val="00A3487E"/>
    <w:rsid w:val="00A572C5"/>
    <w:rsid w:val="00A64D7D"/>
    <w:rsid w:val="00A804FD"/>
    <w:rsid w:val="00A85AD2"/>
    <w:rsid w:val="00A92C71"/>
    <w:rsid w:val="00AA010B"/>
    <w:rsid w:val="00AA22B1"/>
    <w:rsid w:val="00AA7D8C"/>
    <w:rsid w:val="00AB55BD"/>
    <w:rsid w:val="00AC1BD9"/>
    <w:rsid w:val="00AC7ADF"/>
    <w:rsid w:val="00AE3954"/>
    <w:rsid w:val="00AE4E93"/>
    <w:rsid w:val="00AF087B"/>
    <w:rsid w:val="00AF56B6"/>
    <w:rsid w:val="00B01DC4"/>
    <w:rsid w:val="00B15B4B"/>
    <w:rsid w:val="00B461E8"/>
    <w:rsid w:val="00B62C82"/>
    <w:rsid w:val="00B76168"/>
    <w:rsid w:val="00B91082"/>
    <w:rsid w:val="00B91883"/>
    <w:rsid w:val="00B9650A"/>
    <w:rsid w:val="00BA0F56"/>
    <w:rsid w:val="00BB22B8"/>
    <w:rsid w:val="00BC4E1E"/>
    <w:rsid w:val="00BD21D9"/>
    <w:rsid w:val="00BD6B91"/>
    <w:rsid w:val="00BF5B91"/>
    <w:rsid w:val="00C00428"/>
    <w:rsid w:val="00C059A7"/>
    <w:rsid w:val="00C20C03"/>
    <w:rsid w:val="00C22F53"/>
    <w:rsid w:val="00C414E4"/>
    <w:rsid w:val="00C61028"/>
    <w:rsid w:val="00C661BF"/>
    <w:rsid w:val="00C8016C"/>
    <w:rsid w:val="00C802A5"/>
    <w:rsid w:val="00C92DE8"/>
    <w:rsid w:val="00C97BA0"/>
    <w:rsid w:val="00CA24D1"/>
    <w:rsid w:val="00CB212C"/>
    <w:rsid w:val="00CC1158"/>
    <w:rsid w:val="00CD108A"/>
    <w:rsid w:val="00CE7A98"/>
    <w:rsid w:val="00D11193"/>
    <w:rsid w:val="00D23636"/>
    <w:rsid w:val="00D250B9"/>
    <w:rsid w:val="00D2549B"/>
    <w:rsid w:val="00D5126E"/>
    <w:rsid w:val="00D64216"/>
    <w:rsid w:val="00D644AC"/>
    <w:rsid w:val="00D64A6D"/>
    <w:rsid w:val="00D852C9"/>
    <w:rsid w:val="00DA7B8E"/>
    <w:rsid w:val="00DA7ED7"/>
    <w:rsid w:val="00DD6298"/>
    <w:rsid w:val="00DE224A"/>
    <w:rsid w:val="00DF5EFD"/>
    <w:rsid w:val="00E07CEA"/>
    <w:rsid w:val="00E1506C"/>
    <w:rsid w:val="00E15DF9"/>
    <w:rsid w:val="00E2551D"/>
    <w:rsid w:val="00E46CE3"/>
    <w:rsid w:val="00E54EF4"/>
    <w:rsid w:val="00E572E7"/>
    <w:rsid w:val="00E57F9F"/>
    <w:rsid w:val="00E8646D"/>
    <w:rsid w:val="00E86DC5"/>
    <w:rsid w:val="00E9709B"/>
    <w:rsid w:val="00EB3CD4"/>
    <w:rsid w:val="00EB4DC5"/>
    <w:rsid w:val="00EC4A99"/>
    <w:rsid w:val="00EC5AC2"/>
    <w:rsid w:val="00EE193B"/>
    <w:rsid w:val="00EE4401"/>
    <w:rsid w:val="00EF1A16"/>
    <w:rsid w:val="00F168C8"/>
    <w:rsid w:val="00F17FE5"/>
    <w:rsid w:val="00F219A2"/>
    <w:rsid w:val="00F22554"/>
    <w:rsid w:val="00F32D9C"/>
    <w:rsid w:val="00F37130"/>
    <w:rsid w:val="00F42DB7"/>
    <w:rsid w:val="00F4363A"/>
    <w:rsid w:val="00F627CE"/>
    <w:rsid w:val="00F7506A"/>
    <w:rsid w:val="00F92467"/>
    <w:rsid w:val="00F95974"/>
    <w:rsid w:val="00FA2EB2"/>
    <w:rsid w:val="00FA300F"/>
    <w:rsid w:val="00FA3DF6"/>
    <w:rsid w:val="00FA7E13"/>
    <w:rsid w:val="00FC41E0"/>
    <w:rsid w:val="00FD3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B52B4"/>
  <w15:chartTrackingRefBased/>
  <w15:docId w15:val="{89640938-8EF5-4B44-A80B-E287BA5C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C9F"/>
    <w:pPr>
      <w:spacing w:line="300" w:lineRule="atLeast"/>
    </w:pPr>
    <w:rPr>
      <w:rFonts w:ascii="Arial" w:eastAsia="Times" w:hAnsi="Arial" w:cs="Arial"/>
      <w:color w:val="000000"/>
    </w:rPr>
  </w:style>
  <w:style w:type="paragraph" w:styleId="Heading1">
    <w:name w:val="heading 1"/>
    <w:basedOn w:val="Normal"/>
    <w:next w:val="Normal"/>
    <w:link w:val="Heading1Char"/>
    <w:uiPriority w:val="9"/>
    <w:qFormat/>
    <w:rsid w:val="0034591A"/>
    <w:pPr>
      <w:keepNext/>
      <w:keepLines/>
      <w:spacing w:after="800" w:line="560" w:lineRule="atLeast"/>
      <w:outlineLvl w:val="0"/>
    </w:pPr>
    <w:rPr>
      <w:rFonts w:eastAsia="MS Gothic"/>
      <w:bCs/>
      <w:color w:val="0072CE"/>
      <w:kern w:val="32"/>
      <w:sz w:val="52"/>
      <w:szCs w:val="52"/>
    </w:rPr>
  </w:style>
  <w:style w:type="paragraph" w:styleId="Heading2">
    <w:name w:val="heading 2"/>
    <w:basedOn w:val="Normal"/>
    <w:next w:val="Normal"/>
    <w:link w:val="Heading2Char"/>
    <w:uiPriority w:val="9"/>
    <w:unhideWhenUsed/>
    <w:qFormat/>
    <w:rsid w:val="0034591A"/>
    <w:pPr>
      <w:keepNext/>
      <w:keepLines/>
      <w:spacing w:before="280" w:after="120" w:line="240" w:lineRule="auto"/>
      <w:outlineLvl w:val="1"/>
    </w:pPr>
    <w:rPr>
      <w:rFonts w:eastAsia="MS Gothic" w:cs="Times New Roman"/>
      <w:bCs/>
      <w:iCs/>
      <w:color w:val="0072CE"/>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EC5"/>
  </w:style>
  <w:style w:type="paragraph" w:styleId="Footer">
    <w:name w:val="footer"/>
    <w:basedOn w:val="Normal"/>
    <w:link w:val="FooterChar"/>
    <w:uiPriority w:val="99"/>
    <w:unhideWhenUsed/>
    <w:rsid w:val="00A13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EC5"/>
  </w:style>
  <w:style w:type="paragraph" w:styleId="FootnoteText">
    <w:name w:val="footnote text"/>
    <w:basedOn w:val="Normal"/>
    <w:link w:val="FootnoteTextChar"/>
    <w:uiPriority w:val="99"/>
    <w:semiHidden/>
    <w:unhideWhenUsed/>
    <w:rsid w:val="00A13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EC5"/>
    <w:rPr>
      <w:sz w:val="20"/>
      <w:szCs w:val="20"/>
    </w:rPr>
  </w:style>
  <w:style w:type="table" w:styleId="TableGrid">
    <w:name w:val="Table Grid"/>
    <w:basedOn w:val="TableNormal"/>
    <w:rsid w:val="00A13EC5"/>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bottom w:val="single" w:sz="4" w:space="0" w:color="auto"/>
        <w:insideH w:val="single" w:sz="4" w:space="0" w:color="auto"/>
      </w:tblBorders>
    </w:tblPr>
  </w:style>
  <w:style w:type="character" w:styleId="FootnoteReference">
    <w:name w:val="footnote reference"/>
    <w:uiPriority w:val="8"/>
    <w:rsid w:val="00A13EC5"/>
    <w:rPr>
      <w:vertAlign w:val="superscript"/>
    </w:rPr>
  </w:style>
  <w:style w:type="paragraph" w:customStyle="1" w:styleId="DPCnumberdigit">
    <w:name w:val="DPC number digit"/>
    <w:basedOn w:val="Normal"/>
    <w:uiPriority w:val="4"/>
    <w:rsid w:val="00A13EC5"/>
    <w:pPr>
      <w:numPr>
        <w:numId w:val="2"/>
      </w:numPr>
      <w:tabs>
        <w:tab w:val="clear" w:pos="397"/>
        <w:tab w:val="num" w:pos="360"/>
      </w:tabs>
      <w:ind w:left="0" w:firstLine="0"/>
    </w:pPr>
  </w:style>
  <w:style w:type="paragraph" w:customStyle="1" w:styleId="DPCnumberdigitindent">
    <w:name w:val="DPC number digit indent"/>
    <w:basedOn w:val="Normal"/>
    <w:uiPriority w:val="4"/>
    <w:qFormat/>
    <w:rsid w:val="00A13EC5"/>
    <w:pPr>
      <w:numPr>
        <w:ilvl w:val="1"/>
        <w:numId w:val="2"/>
      </w:numPr>
      <w:tabs>
        <w:tab w:val="clear" w:pos="794"/>
        <w:tab w:val="num" w:pos="360"/>
      </w:tabs>
      <w:ind w:left="0" w:firstLine="0"/>
    </w:pPr>
  </w:style>
  <w:style w:type="paragraph" w:customStyle="1" w:styleId="DPCnumberlowerroman">
    <w:name w:val="DPC number lower roman"/>
    <w:basedOn w:val="Normal"/>
    <w:uiPriority w:val="4"/>
    <w:qFormat/>
    <w:rsid w:val="00A13EC5"/>
    <w:pPr>
      <w:numPr>
        <w:numId w:val="1"/>
      </w:numPr>
      <w:tabs>
        <w:tab w:val="clear" w:pos="397"/>
        <w:tab w:val="num" w:pos="360"/>
      </w:tabs>
      <w:ind w:left="0" w:firstLine="0"/>
    </w:pPr>
  </w:style>
  <w:style w:type="paragraph" w:customStyle="1" w:styleId="DPCnumberlowerromanindent">
    <w:name w:val="DPC number lower roman indent"/>
    <w:basedOn w:val="Normal"/>
    <w:uiPriority w:val="4"/>
    <w:qFormat/>
    <w:rsid w:val="00A13EC5"/>
    <w:pPr>
      <w:numPr>
        <w:ilvl w:val="1"/>
        <w:numId w:val="1"/>
      </w:numPr>
      <w:tabs>
        <w:tab w:val="clear" w:pos="794"/>
        <w:tab w:val="num" w:pos="360"/>
      </w:tabs>
      <w:ind w:left="0" w:firstLine="0"/>
    </w:pPr>
  </w:style>
  <w:style w:type="numbering" w:customStyle="1" w:styleId="ZZNumberslowerroman">
    <w:name w:val="ZZ Numbers lower roman"/>
    <w:basedOn w:val="NoList"/>
    <w:uiPriority w:val="99"/>
    <w:rsid w:val="00A13EC5"/>
    <w:pPr>
      <w:numPr>
        <w:numId w:val="1"/>
      </w:numPr>
    </w:pPr>
  </w:style>
  <w:style w:type="numbering" w:customStyle="1" w:styleId="ZZNumbersloweralpha">
    <w:name w:val="ZZ Numbers lower alpha"/>
    <w:basedOn w:val="NoList"/>
    <w:rsid w:val="00A13EC5"/>
    <w:pPr>
      <w:numPr>
        <w:numId w:val="4"/>
      </w:numPr>
    </w:pPr>
  </w:style>
  <w:style w:type="numbering" w:customStyle="1" w:styleId="ZZNumbersdigit">
    <w:name w:val="ZZ Numbers digit"/>
    <w:basedOn w:val="NoList"/>
    <w:uiPriority w:val="99"/>
    <w:rsid w:val="00A13EC5"/>
    <w:pPr>
      <w:numPr>
        <w:numId w:val="2"/>
      </w:numPr>
    </w:pPr>
  </w:style>
  <w:style w:type="paragraph" w:customStyle="1" w:styleId="DPCbulletafternumbers1">
    <w:name w:val="DPC bullet after numbers 1"/>
    <w:basedOn w:val="Normal"/>
    <w:rsid w:val="00A13EC5"/>
    <w:pPr>
      <w:numPr>
        <w:ilvl w:val="2"/>
        <w:numId w:val="2"/>
      </w:numPr>
      <w:tabs>
        <w:tab w:val="num" w:pos="360"/>
      </w:tabs>
      <w:ind w:left="0" w:firstLine="0"/>
    </w:pPr>
  </w:style>
  <w:style w:type="paragraph" w:customStyle="1" w:styleId="DPCbulletafternumbers2">
    <w:name w:val="DPC bullet after numbers 2"/>
    <w:basedOn w:val="Normal"/>
    <w:rsid w:val="00A13EC5"/>
    <w:pPr>
      <w:numPr>
        <w:ilvl w:val="3"/>
        <w:numId w:val="2"/>
      </w:numPr>
      <w:tabs>
        <w:tab w:val="num" w:pos="360"/>
      </w:tabs>
      <w:ind w:left="0" w:firstLine="0"/>
    </w:pPr>
  </w:style>
  <w:style w:type="paragraph" w:customStyle="1" w:styleId="DPCnumberloweralpha">
    <w:name w:val="DPC number lower alpha"/>
    <w:basedOn w:val="Normal"/>
    <w:uiPriority w:val="3"/>
    <w:rsid w:val="00A13EC5"/>
    <w:pPr>
      <w:numPr>
        <w:numId w:val="4"/>
      </w:numPr>
      <w:tabs>
        <w:tab w:val="clear" w:pos="397"/>
        <w:tab w:val="num" w:pos="360"/>
      </w:tabs>
      <w:ind w:left="0" w:firstLine="0"/>
    </w:pPr>
  </w:style>
  <w:style w:type="paragraph" w:customStyle="1" w:styleId="DPCnumberloweralphaindent">
    <w:name w:val="DPC number lower alpha indent"/>
    <w:basedOn w:val="Normal"/>
    <w:uiPriority w:val="3"/>
    <w:rsid w:val="00A13EC5"/>
    <w:pPr>
      <w:numPr>
        <w:ilvl w:val="1"/>
        <w:numId w:val="4"/>
      </w:numPr>
      <w:tabs>
        <w:tab w:val="clear" w:pos="794"/>
        <w:tab w:val="num" w:pos="360"/>
      </w:tabs>
      <w:ind w:left="0" w:firstLine="0"/>
    </w:pPr>
  </w:style>
  <w:style w:type="character" w:customStyle="1" w:styleId="Heading1Char">
    <w:name w:val="Heading 1 Char"/>
    <w:basedOn w:val="DefaultParagraphFont"/>
    <w:link w:val="Heading1"/>
    <w:uiPriority w:val="9"/>
    <w:rsid w:val="0034591A"/>
    <w:rPr>
      <w:rFonts w:ascii="Arial" w:eastAsia="MS Gothic" w:hAnsi="Arial" w:cs="Arial"/>
      <w:bCs/>
      <w:color w:val="0072CE"/>
      <w:kern w:val="32"/>
      <w:sz w:val="52"/>
      <w:szCs w:val="52"/>
    </w:rPr>
  </w:style>
  <w:style w:type="character" w:customStyle="1" w:styleId="Heading2Char">
    <w:name w:val="Heading 2 Char"/>
    <w:basedOn w:val="DefaultParagraphFont"/>
    <w:link w:val="Heading2"/>
    <w:uiPriority w:val="9"/>
    <w:rsid w:val="0034591A"/>
    <w:rPr>
      <w:rFonts w:ascii="Arial" w:eastAsia="MS Gothic" w:hAnsi="Arial" w:cs="Times New Roman"/>
      <w:bCs/>
      <w:iCs/>
      <w:color w:val="0072CE"/>
      <w:sz w:val="36"/>
      <w:szCs w:val="36"/>
    </w:rPr>
  </w:style>
  <w:style w:type="paragraph" w:styleId="TOC1">
    <w:name w:val="toc 1"/>
    <w:basedOn w:val="Normal"/>
    <w:next w:val="Normal"/>
    <w:autoRedefine/>
    <w:uiPriority w:val="39"/>
    <w:unhideWhenUsed/>
    <w:rsid w:val="0034591A"/>
    <w:pPr>
      <w:spacing w:after="100"/>
    </w:pPr>
  </w:style>
  <w:style w:type="paragraph" w:styleId="TOC2">
    <w:name w:val="toc 2"/>
    <w:basedOn w:val="Normal"/>
    <w:next w:val="Normal"/>
    <w:autoRedefine/>
    <w:uiPriority w:val="39"/>
    <w:unhideWhenUsed/>
    <w:rsid w:val="0034591A"/>
    <w:pPr>
      <w:spacing w:after="100"/>
      <w:ind w:left="220"/>
    </w:pPr>
  </w:style>
  <w:style w:type="character" w:styleId="Hyperlink">
    <w:name w:val="Hyperlink"/>
    <w:basedOn w:val="DefaultParagraphFont"/>
    <w:uiPriority w:val="99"/>
    <w:unhideWhenUsed/>
    <w:rsid w:val="0034591A"/>
    <w:rPr>
      <w:color w:val="0563C1" w:themeColor="hyperlink"/>
      <w:u w:val="single"/>
    </w:rPr>
  </w:style>
  <w:style w:type="paragraph" w:styleId="BalloonText">
    <w:name w:val="Balloon Text"/>
    <w:basedOn w:val="Normal"/>
    <w:link w:val="BalloonTextChar"/>
    <w:uiPriority w:val="99"/>
    <w:semiHidden/>
    <w:unhideWhenUsed/>
    <w:rsid w:val="00DA7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B8E"/>
    <w:rPr>
      <w:rFonts w:ascii="Segoe UI" w:eastAsia="Times" w:hAnsi="Segoe UI" w:cs="Segoe UI"/>
      <w:color w:val="000000"/>
      <w:sz w:val="18"/>
      <w:szCs w:val="18"/>
    </w:rPr>
  </w:style>
  <w:style w:type="paragraph" w:styleId="ListParagraph">
    <w:name w:val="List Paragraph"/>
    <w:basedOn w:val="Normal"/>
    <w:uiPriority w:val="34"/>
    <w:qFormat/>
    <w:rsid w:val="00AE3954"/>
    <w:pPr>
      <w:ind w:left="720"/>
      <w:contextualSpacing/>
    </w:pPr>
  </w:style>
  <w:style w:type="character" w:styleId="CommentReference">
    <w:name w:val="annotation reference"/>
    <w:basedOn w:val="DefaultParagraphFont"/>
    <w:uiPriority w:val="99"/>
    <w:semiHidden/>
    <w:unhideWhenUsed/>
    <w:rsid w:val="00F219A2"/>
    <w:rPr>
      <w:rFonts w:cs="Times New Roman"/>
      <w:sz w:val="16"/>
      <w:szCs w:val="16"/>
    </w:rPr>
  </w:style>
  <w:style w:type="paragraph" w:styleId="CommentText">
    <w:name w:val="annotation text"/>
    <w:basedOn w:val="Normal"/>
    <w:link w:val="CommentTextChar"/>
    <w:uiPriority w:val="99"/>
    <w:unhideWhenUsed/>
    <w:rsid w:val="00F219A2"/>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F219A2"/>
    <w:rPr>
      <w:rFonts w:ascii="Arial" w:eastAsia="Times New Roman" w:hAnsi="Arial" w:cs="Arial"/>
      <w:color w:val="000000"/>
      <w:sz w:val="20"/>
      <w:szCs w:val="20"/>
    </w:rPr>
  </w:style>
  <w:style w:type="paragraph" w:styleId="BodyText">
    <w:name w:val="Body Text"/>
    <w:basedOn w:val="Normal"/>
    <w:link w:val="BodyTextChar"/>
    <w:uiPriority w:val="1"/>
    <w:qFormat/>
    <w:rsid w:val="0052671E"/>
    <w:pPr>
      <w:widowControl w:val="0"/>
      <w:autoSpaceDE w:val="0"/>
      <w:autoSpaceDN w:val="0"/>
      <w:spacing w:after="0" w:line="240" w:lineRule="auto"/>
      <w:ind w:left="610"/>
    </w:pPr>
    <w:rPr>
      <w:rFonts w:ascii="Calibri" w:eastAsia="Calibri" w:hAnsi="Calibri" w:cs="Calibri"/>
      <w:color w:val="auto"/>
      <w:sz w:val="24"/>
      <w:szCs w:val="24"/>
    </w:rPr>
  </w:style>
  <w:style w:type="character" w:customStyle="1" w:styleId="BodyTextChar">
    <w:name w:val="Body Text Char"/>
    <w:basedOn w:val="DefaultParagraphFont"/>
    <w:link w:val="BodyText"/>
    <w:uiPriority w:val="1"/>
    <w:rsid w:val="0052671E"/>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95568F"/>
    <w:rPr>
      <w:rFonts w:eastAsia="Times"/>
      <w:b/>
      <w:bCs/>
    </w:rPr>
  </w:style>
  <w:style w:type="character" w:customStyle="1" w:styleId="CommentSubjectChar">
    <w:name w:val="Comment Subject Char"/>
    <w:basedOn w:val="CommentTextChar"/>
    <w:link w:val="CommentSubject"/>
    <w:uiPriority w:val="99"/>
    <w:semiHidden/>
    <w:rsid w:val="0095568F"/>
    <w:rPr>
      <w:rFonts w:ascii="Arial" w:eastAsia="Times" w:hAnsi="Arial" w:cs="Arial"/>
      <w:b/>
      <w:bCs/>
      <w:color w:val="000000"/>
      <w:sz w:val="20"/>
      <w:szCs w:val="20"/>
    </w:rPr>
  </w:style>
  <w:style w:type="character" w:styleId="UnresolvedMention">
    <w:name w:val="Unresolved Mention"/>
    <w:basedOn w:val="DefaultParagraphFont"/>
    <w:uiPriority w:val="99"/>
    <w:semiHidden/>
    <w:unhideWhenUsed/>
    <w:rsid w:val="00B01DC4"/>
    <w:rPr>
      <w:color w:val="605E5C"/>
      <w:shd w:val="clear" w:color="auto" w:fill="E1DFDD"/>
    </w:rPr>
  </w:style>
  <w:style w:type="paragraph" w:styleId="Revision">
    <w:name w:val="Revision"/>
    <w:hidden/>
    <w:uiPriority w:val="99"/>
    <w:semiHidden/>
    <w:rsid w:val="00271D8F"/>
    <w:pPr>
      <w:spacing w:after="0" w:line="240" w:lineRule="auto"/>
    </w:pPr>
    <w:rPr>
      <w:rFonts w:ascii="Arial" w:eastAsia="Times" w:hAnsi="Arial" w:cs="Arial"/>
      <w:color w:val="000000"/>
    </w:rPr>
  </w:style>
  <w:style w:type="character" w:styleId="FollowedHyperlink">
    <w:name w:val="FollowedHyperlink"/>
    <w:basedOn w:val="DefaultParagraphFont"/>
    <w:uiPriority w:val="99"/>
    <w:semiHidden/>
    <w:unhideWhenUsed/>
    <w:rsid w:val="00456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309042">
      <w:bodyDiv w:val="1"/>
      <w:marLeft w:val="0"/>
      <w:marRight w:val="0"/>
      <w:marTop w:val="0"/>
      <w:marBottom w:val="0"/>
      <w:divBdr>
        <w:top w:val="none" w:sz="0" w:space="0" w:color="auto"/>
        <w:left w:val="none" w:sz="0" w:space="0" w:color="auto"/>
        <w:bottom w:val="none" w:sz="0" w:space="0" w:color="auto"/>
        <w:right w:val="none" w:sz="0" w:space="0" w:color="auto"/>
      </w:divBdr>
    </w:div>
    <w:div w:id="791704069">
      <w:bodyDiv w:val="1"/>
      <w:marLeft w:val="0"/>
      <w:marRight w:val="0"/>
      <w:marTop w:val="0"/>
      <w:marBottom w:val="0"/>
      <w:divBdr>
        <w:top w:val="none" w:sz="0" w:space="0" w:color="auto"/>
        <w:left w:val="none" w:sz="0" w:space="0" w:color="auto"/>
        <w:bottom w:val="none" w:sz="0" w:space="0" w:color="auto"/>
        <w:right w:val="none" w:sz="0" w:space="0" w:color="auto"/>
      </w:divBdr>
    </w:div>
    <w:div w:id="209605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sc.vic.gov.au/wp-content/pdf-download.pdf?postID=145721" TargetMode="External"/><Relationship Id="rId18" Type="http://schemas.openxmlformats.org/officeDocument/2006/relationships/hyperlink" Target="mailto:publicsectorworkforce@dpc.vic.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sc.vic.gov.au/wp-content/pdf-download.pdf?postID=120941" TargetMode="External"/><Relationship Id="rId17" Type="http://schemas.openxmlformats.org/officeDocument/2006/relationships/hyperlink" Target="mailto:info@vpsc.vic.gov.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vic.gov.au/tribunals-determination-vps-executive-remuneration-bands" TargetMode="External"/><Relationship Id="rId20" Type="http://schemas.openxmlformats.org/officeDocument/2006/relationships/hyperlink" Target="https://www.vic.gov.au/tribunals-determination-vps-executive-remuneration-ban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c.gov.au/public-entity-executive-remuneration-policy"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ato.gov.au/rates/key-superannuation-rates-and-thresholds/?anchor=Maximumsupercontributionbase"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vic.gov.au/tribunals-determination-vps-executive-remuneration-band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to.gov.au/rates/key-superannuation-rates-and-thresholds/?anchor=Superguaranteepercentage"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DAA6B2C-906C-4E1C-B581-B476E759D649}">
  <ds:schemaRefs>
    <ds:schemaRef ds:uri="http://schemas.openxmlformats.org/officeDocument/2006/bibliography"/>
  </ds:schemaRefs>
</ds:datastoreItem>
</file>

<file path=customXml/itemProps2.xml><?xml version="1.0" encoding="utf-8"?>
<ds:datastoreItem xmlns:ds="http://schemas.openxmlformats.org/officeDocument/2006/customXml" ds:itemID="{A521E03C-406E-419A-AF9F-E7B50FA071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Gallon (DPC)</dc:creator>
  <cp:keywords/>
  <dc:description/>
  <cp:lastModifiedBy>Halyna X Danylak (DPC)</cp:lastModifiedBy>
  <cp:revision>2</cp:revision>
  <cp:lastPrinted>2021-12-20T07:29:00Z</cp:lastPrinted>
  <dcterms:created xsi:type="dcterms:W3CDTF">2022-01-06T03:00:00Z</dcterms:created>
  <dcterms:modified xsi:type="dcterms:W3CDTF">2022-01-06T03:00:00Z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2022-01-06T03:00:17Z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
  </property>
  <property fmtid="{D5CDD505-2E9C-101B-9397-08002B2CF9AE}" pid="8" name="MSIP_Label_7158ebbd-6c5e-441f-bfc9-4eb8c11e3978_ContentBits">
    <vt:lpwstr>2</vt:lpwstr>
  </property>
</Properties>
</file>